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771CE" w14:textId="7C43D24C" w:rsidR="00625421" w:rsidRPr="00625421" w:rsidRDefault="00625421" w:rsidP="00EC3FF8">
      <w:pPr>
        <w:bidi w:val="0"/>
        <w:spacing w:line="360" w:lineRule="auto"/>
        <w:ind w:left="714" w:hanging="357"/>
        <w:jc w:val="center"/>
        <w:rPr>
          <w:rFonts w:cs="David"/>
          <w:sz w:val="24"/>
          <w:szCs w:val="24"/>
        </w:rPr>
      </w:pPr>
      <w:bookmarkStart w:id="0" w:name="_GoBack"/>
      <w:bookmarkEnd w:id="0"/>
      <w:r>
        <w:rPr>
          <w:rFonts w:cs="David"/>
          <w:b/>
          <w:bCs/>
          <w:sz w:val="40"/>
          <w:szCs w:val="40"/>
          <w:u w:val="single"/>
        </w:rPr>
        <w:t>Agreement</w:t>
      </w:r>
      <w:r w:rsidR="00CA116E">
        <w:rPr>
          <w:rFonts w:cs="David"/>
          <w:sz w:val="24"/>
          <w:szCs w:val="24"/>
          <w:rtl/>
        </w:rPr>
        <w:br/>
      </w:r>
      <w:r>
        <w:rPr>
          <w:rFonts w:cs="David"/>
          <w:sz w:val="24"/>
          <w:szCs w:val="24"/>
        </w:rPr>
        <w:t xml:space="preserve">which was prepared and signed on </w:t>
      </w:r>
      <w:r w:rsidRPr="00625421">
        <w:rPr>
          <w:rFonts w:cs="David"/>
          <w:sz w:val="24"/>
          <w:szCs w:val="24"/>
        </w:rPr>
        <w:t>May</w:t>
      </w:r>
      <w:r>
        <w:rPr>
          <w:rFonts w:cs="David"/>
          <w:sz w:val="24"/>
          <w:szCs w:val="24"/>
        </w:rPr>
        <w:t xml:space="preserve"> </w:t>
      </w:r>
      <w:r>
        <w:rPr>
          <w:rFonts w:cs="David"/>
          <w:sz w:val="24"/>
          <w:szCs w:val="24"/>
          <w:u w:val="single"/>
        </w:rPr>
        <w:tab/>
      </w:r>
      <w:r>
        <w:rPr>
          <w:rFonts w:cs="David"/>
          <w:sz w:val="24"/>
          <w:szCs w:val="24"/>
        </w:rPr>
        <w:t>, 2020</w:t>
      </w:r>
    </w:p>
    <w:p w14:paraId="630F55CA" w14:textId="32A05F30" w:rsidR="00625421" w:rsidRDefault="00625421" w:rsidP="00EC3FF8">
      <w:pPr>
        <w:bidi w:val="0"/>
        <w:spacing w:line="240" w:lineRule="auto"/>
        <w:ind w:left="714" w:hanging="357"/>
        <w:jc w:val="both"/>
        <w:rPr>
          <w:rFonts w:cs="David"/>
          <w:sz w:val="24"/>
          <w:szCs w:val="24"/>
        </w:rPr>
      </w:pPr>
      <w:r>
        <w:rPr>
          <w:rFonts w:cs="David"/>
          <w:sz w:val="24"/>
          <w:szCs w:val="24"/>
        </w:rPr>
        <w:t>Between</w:t>
      </w:r>
      <w:r w:rsidR="00DE230A">
        <w:rPr>
          <w:rFonts w:cs="David"/>
          <w:sz w:val="24"/>
          <w:szCs w:val="24"/>
        </w:rPr>
        <w:tab/>
      </w:r>
      <w:r w:rsidR="00DE230A">
        <w:rPr>
          <w:rFonts w:cs="David"/>
          <w:sz w:val="24"/>
          <w:szCs w:val="24"/>
        </w:rPr>
        <w:tab/>
      </w:r>
      <w:r w:rsidR="00DE230A">
        <w:rPr>
          <w:rFonts w:cs="David"/>
          <w:sz w:val="24"/>
          <w:szCs w:val="24"/>
          <w:u w:val="single"/>
        </w:rPr>
        <w:tab/>
      </w:r>
      <w:r w:rsidR="00DE230A">
        <w:rPr>
          <w:rFonts w:cs="David"/>
          <w:sz w:val="24"/>
          <w:szCs w:val="24"/>
          <w:u w:val="single"/>
        </w:rPr>
        <w:tab/>
      </w:r>
      <w:r w:rsidR="00DE230A">
        <w:rPr>
          <w:rFonts w:cs="David"/>
          <w:sz w:val="24"/>
          <w:szCs w:val="24"/>
          <w:u w:val="single"/>
        </w:rPr>
        <w:tab/>
      </w:r>
      <w:r w:rsidR="00DE230A">
        <w:rPr>
          <w:rFonts w:cs="David"/>
          <w:sz w:val="24"/>
          <w:szCs w:val="24"/>
          <w:u w:val="single"/>
        </w:rPr>
        <w:tab/>
      </w:r>
      <w:r w:rsidR="00DE230A">
        <w:rPr>
          <w:rFonts w:cs="David"/>
          <w:sz w:val="24"/>
          <w:szCs w:val="24"/>
          <w:u w:val="single"/>
        </w:rPr>
        <w:tab/>
      </w:r>
      <w:r w:rsidR="00DE230A" w:rsidRPr="00DE230A">
        <w:rPr>
          <w:rFonts w:cs="David"/>
          <w:b/>
          <w:bCs/>
          <w:sz w:val="24"/>
          <w:szCs w:val="24"/>
        </w:rPr>
        <w:t xml:space="preserve"> Club</w:t>
      </w:r>
    </w:p>
    <w:p w14:paraId="1AD7EE30" w14:textId="6BC463C2" w:rsidR="00DE230A" w:rsidRDefault="00DE230A" w:rsidP="00EC3FF8">
      <w:pPr>
        <w:tabs>
          <w:tab w:val="right" w:pos="8222"/>
        </w:tabs>
        <w:bidi w:val="0"/>
        <w:spacing w:line="240" w:lineRule="auto"/>
        <w:ind w:left="714" w:hanging="357"/>
        <w:jc w:val="both"/>
        <w:rPr>
          <w:rFonts w:cs="David"/>
          <w:sz w:val="24"/>
          <w:szCs w:val="24"/>
        </w:rPr>
      </w:pPr>
      <w:r>
        <w:rPr>
          <w:rFonts w:cs="David"/>
          <w:sz w:val="24"/>
          <w:szCs w:val="24"/>
        </w:rPr>
        <w:tab/>
      </w:r>
      <w:r>
        <w:rPr>
          <w:rFonts w:cs="David"/>
          <w:sz w:val="24"/>
          <w:szCs w:val="24"/>
        </w:rPr>
        <w:tab/>
        <w:t xml:space="preserve">(Hereinafter: </w:t>
      </w:r>
      <w:r>
        <w:rPr>
          <w:rFonts w:cs="David"/>
          <w:b/>
          <w:bCs/>
          <w:sz w:val="24"/>
          <w:szCs w:val="24"/>
        </w:rPr>
        <w:t>The Club</w:t>
      </w:r>
      <w:r>
        <w:rPr>
          <w:rFonts w:cs="David"/>
          <w:sz w:val="24"/>
          <w:szCs w:val="24"/>
        </w:rPr>
        <w:t>)</w:t>
      </w:r>
    </w:p>
    <w:p w14:paraId="76DDAA36" w14:textId="426141EA" w:rsidR="00E23963" w:rsidRPr="00DE230A" w:rsidRDefault="00DE230A" w:rsidP="00EC3FF8">
      <w:pPr>
        <w:tabs>
          <w:tab w:val="right" w:pos="8222"/>
        </w:tabs>
        <w:bidi w:val="0"/>
        <w:spacing w:line="240" w:lineRule="auto"/>
        <w:ind w:left="714" w:hanging="357"/>
        <w:jc w:val="both"/>
        <w:rPr>
          <w:rFonts w:cs="David"/>
          <w:sz w:val="24"/>
          <w:szCs w:val="24"/>
          <w:u w:val="single"/>
          <w:rtl/>
        </w:rPr>
      </w:pPr>
      <w:r w:rsidRPr="00DE230A">
        <w:rPr>
          <w:rFonts w:cs="David"/>
          <w:sz w:val="24"/>
          <w:szCs w:val="24"/>
        </w:rPr>
        <w:tab/>
      </w:r>
      <w:r w:rsidRPr="00DE230A">
        <w:rPr>
          <w:rFonts w:cs="David"/>
          <w:sz w:val="24"/>
          <w:szCs w:val="24"/>
        </w:rPr>
        <w:tab/>
      </w:r>
      <w:r w:rsidRPr="00DE230A">
        <w:rPr>
          <w:rFonts w:cs="David"/>
          <w:sz w:val="24"/>
          <w:szCs w:val="24"/>
          <w:u w:val="single"/>
        </w:rPr>
        <w:t>First Party</w:t>
      </w:r>
    </w:p>
    <w:p w14:paraId="1F2CC288" w14:textId="14A9C002" w:rsidR="006543F1" w:rsidRPr="006543F1" w:rsidRDefault="006543F1" w:rsidP="00EC3FF8">
      <w:pPr>
        <w:pStyle w:val="1"/>
        <w:tabs>
          <w:tab w:val="left" w:pos="1276"/>
          <w:tab w:val="right" w:pos="7938"/>
        </w:tabs>
        <w:bidi w:val="0"/>
        <w:spacing w:after="0" w:line="240" w:lineRule="auto"/>
        <w:ind w:left="1276" w:right="368" w:hanging="1276"/>
        <w:jc w:val="both"/>
        <w:rPr>
          <w:rFonts w:cs="David"/>
          <w:sz w:val="24"/>
          <w:szCs w:val="24"/>
        </w:rPr>
      </w:pPr>
      <w:r>
        <w:rPr>
          <w:rFonts w:cs="David"/>
          <w:b/>
          <w:bCs/>
          <w:sz w:val="24"/>
          <w:szCs w:val="24"/>
        </w:rPr>
        <w:t>And:</w:t>
      </w:r>
      <w:r>
        <w:rPr>
          <w:rFonts w:cs="David"/>
          <w:b/>
          <w:bCs/>
          <w:sz w:val="24"/>
          <w:szCs w:val="24"/>
        </w:rPr>
        <w:tab/>
      </w:r>
      <w:r w:rsidR="001C14CC">
        <w:rPr>
          <w:rFonts w:cs="David"/>
          <w:b/>
          <w:bCs/>
          <w:sz w:val="24"/>
          <w:szCs w:val="24"/>
        </w:rPr>
        <w:t xml:space="preserve">Israel </w:t>
      </w:r>
      <w:r w:rsidR="001737BF">
        <w:rPr>
          <w:rFonts w:cs="David"/>
          <w:b/>
          <w:bCs/>
          <w:sz w:val="24"/>
          <w:szCs w:val="24"/>
        </w:rPr>
        <w:t>Basket</w:t>
      </w:r>
      <w:r>
        <w:rPr>
          <w:rFonts w:cs="David"/>
          <w:b/>
          <w:bCs/>
          <w:sz w:val="24"/>
          <w:szCs w:val="24"/>
        </w:rPr>
        <w:t>ball Players</w:t>
      </w:r>
      <w:r w:rsidR="001C14CC">
        <w:rPr>
          <w:rFonts w:cs="David"/>
          <w:b/>
          <w:bCs/>
          <w:sz w:val="24"/>
          <w:szCs w:val="24"/>
        </w:rPr>
        <w:t xml:space="preserve"> Association (IBPA)</w:t>
      </w:r>
      <w:r>
        <w:rPr>
          <w:rFonts w:cs="David"/>
          <w:b/>
          <w:bCs/>
          <w:sz w:val="24"/>
          <w:szCs w:val="24"/>
        </w:rPr>
        <w:tab/>
      </w:r>
      <w:r>
        <w:rPr>
          <w:rFonts w:cs="David"/>
          <w:b/>
          <w:bCs/>
          <w:sz w:val="24"/>
          <w:szCs w:val="24"/>
        </w:rPr>
        <w:br/>
      </w:r>
      <w:r w:rsidRPr="006543F1">
        <w:rPr>
          <w:rFonts w:cs="David"/>
          <w:sz w:val="24"/>
          <w:szCs w:val="24"/>
        </w:rPr>
        <w:t>on behalf of the club players whose names appear on the list attached hereto (Hereinafter: The "Players")</w:t>
      </w:r>
      <w:r>
        <w:rPr>
          <w:rFonts w:cs="David"/>
          <w:sz w:val="24"/>
          <w:szCs w:val="24"/>
        </w:rPr>
        <w:t xml:space="preserve"> </w:t>
      </w:r>
      <w:r>
        <w:rPr>
          <w:rFonts w:cs="David"/>
          <w:b/>
          <w:bCs/>
          <w:sz w:val="24"/>
          <w:szCs w:val="24"/>
          <w:u w:val="single"/>
        </w:rPr>
        <w:t>Annex "A"</w:t>
      </w:r>
      <w:r>
        <w:rPr>
          <w:rFonts w:cs="David"/>
          <w:sz w:val="24"/>
          <w:szCs w:val="24"/>
        </w:rPr>
        <w:t xml:space="preserve"> which constitutes an integral part of this agreement</w:t>
      </w:r>
    </w:p>
    <w:p w14:paraId="1A2414AB" w14:textId="3F043331" w:rsidR="00DE230A" w:rsidRPr="006543F1" w:rsidRDefault="00DE230A" w:rsidP="00EC3FF8">
      <w:pPr>
        <w:tabs>
          <w:tab w:val="right" w:pos="8222"/>
        </w:tabs>
        <w:bidi w:val="0"/>
        <w:spacing w:line="240" w:lineRule="auto"/>
        <w:ind w:left="714" w:hanging="357"/>
        <w:jc w:val="both"/>
        <w:rPr>
          <w:rFonts w:cs="David"/>
          <w:sz w:val="24"/>
          <w:szCs w:val="24"/>
          <w:u w:val="single"/>
          <w:rtl/>
        </w:rPr>
      </w:pPr>
    </w:p>
    <w:p w14:paraId="0E49E204" w14:textId="590B4E7D" w:rsidR="006543F1" w:rsidRDefault="006543F1" w:rsidP="006543F1">
      <w:pPr>
        <w:tabs>
          <w:tab w:val="right" w:pos="8222"/>
        </w:tabs>
        <w:bidi w:val="0"/>
        <w:spacing w:line="360" w:lineRule="auto"/>
        <w:ind w:left="714" w:hanging="357"/>
        <w:jc w:val="both"/>
        <w:rPr>
          <w:rFonts w:cs="David"/>
          <w:b/>
          <w:bCs/>
          <w:sz w:val="24"/>
          <w:szCs w:val="24"/>
          <w:rtl/>
        </w:rPr>
      </w:pPr>
      <w:r>
        <w:rPr>
          <w:rFonts w:cs="David"/>
          <w:sz w:val="24"/>
          <w:szCs w:val="24"/>
        </w:rPr>
        <w:tab/>
      </w:r>
      <w:r>
        <w:rPr>
          <w:rFonts w:cs="David"/>
          <w:sz w:val="24"/>
          <w:szCs w:val="24"/>
        </w:rPr>
        <w:tab/>
        <w:t xml:space="preserve">Hereinafter: </w:t>
      </w:r>
      <w:r>
        <w:rPr>
          <w:rFonts w:cs="David"/>
          <w:b/>
          <w:bCs/>
          <w:sz w:val="24"/>
          <w:szCs w:val="24"/>
        </w:rPr>
        <w:t>The Players' Representation</w:t>
      </w:r>
    </w:p>
    <w:p w14:paraId="6EB01CAD" w14:textId="77777777" w:rsidR="006821B0" w:rsidRDefault="006821B0" w:rsidP="006821B0">
      <w:pPr>
        <w:spacing w:after="0" w:line="240" w:lineRule="auto"/>
        <w:ind w:left="714" w:hanging="357"/>
        <w:jc w:val="both"/>
        <w:rPr>
          <w:rFonts w:cs="David"/>
          <w:sz w:val="24"/>
          <w:szCs w:val="24"/>
          <w:rtl/>
        </w:rPr>
      </w:pPr>
    </w:p>
    <w:p w14:paraId="43705BFD" w14:textId="2560070E" w:rsidR="006543F1" w:rsidRPr="00DE230A" w:rsidRDefault="006543F1" w:rsidP="00EC3FF8">
      <w:pPr>
        <w:tabs>
          <w:tab w:val="right" w:pos="8222"/>
        </w:tabs>
        <w:bidi w:val="0"/>
        <w:spacing w:line="240" w:lineRule="auto"/>
        <w:ind w:left="714" w:hanging="357"/>
        <w:jc w:val="both"/>
        <w:rPr>
          <w:rFonts w:cs="David"/>
          <w:sz w:val="24"/>
          <w:szCs w:val="24"/>
          <w:u w:val="single"/>
          <w:rtl/>
        </w:rPr>
      </w:pPr>
      <w:r w:rsidRPr="00DE230A">
        <w:rPr>
          <w:rFonts w:cs="David"/>
          <w:sz w:val="24"/>
          <w:szCs w:val="24"/>
        </w:rPr>
        <w:tab/>
      </w:r>
      <w:r w:rsidRPr="00DE230A">
        <w:rPr>
          <w:rFonts w:cs="David"/>
          <w:sz w:val="24"/>
          <w:szCs w:val="24"/>
        </w:rPr>
        <w:tab/>
      </w:r>
      <w:r>
        <w:rPr>
          <w:rFonts w:cs="David"/>
          <w:sz w:val="24"/>
          <w:szCs w:val="24"/>
          <w:u w:val="single"/>
        </w:rPr>
        <w:t xml:space="preserve">Second </w:t>
      </w:r>
      <w:r w:rsidRPr="00DE230A">
        <w:rPr>
          <w:rFonts w:cs="David"/>
          <w:sz w:val="24"/>
          <w:szCs w:val="24"/>
          <w:u w:val="single"/>
        </w:rPr>
        <w:t>Party</w:t>
      </w:r>
    </w:p>
    <w:p w14:paraId="1C12762E" w14:textId="4F37BEEE" w:rsidR="006543F1" w:rsidRDefault="006543F1" w:rsidP="00C00F8F">
      <w:pPr>
        <w:bidi w:val="0"/>
        <w:spacing w:line="240" w:lineRule="auto"/>
        <w:ind w:left="1945" w:hanging="1588"/>
        <w:jc w:val="both"/>
        <w:rPr>
          <w:rFonts w:cs="David"/>
          <w:sz w:val="24"/>
          <w:szCs w:val="24"/>
        </w:rPr>
      </w:pPr>
      <w:r>
        <w:rPr>
          <w:rFonts w:cs="David"/>
          <w:sz w:val="24"/>
          <w:szCs w:val="24"/>
        </w:rPr>
        <w:t>Whereas</w:t>
      </w:r>
      <w:r>
        <w:rPr>
          <w:rFonts w:cs="David"/>
          <w:sz w:val="24"/>
          <w:szCs w:val="24"/>
        </w:rPr>
        <w:tab/>
        <w:t xml:space="preserve">as a result of the coronavirus crisis the </w:t>
      </w:r>
      <w:r w:rsidR="008C199A">
        <w:rPr>
          <w:rFonts w:cs="David"/>
          <w:sz w:val="24"/>
          <w:szCs w:val="24"/>
        </w:rPr>
        <w:t xml:space="preserve">Super </w:t>
      </w:r>
      <w:r>
        <w:rPr>
          <w:rFonts w:cs="David"/>
          <w:sz w:val="24"/>
          <w:szCs w:val="24"/>
        </w:rPr>
        <w:t>League's activities have been suspended from March 15, 2020 and until June 1, 2020;</w:t>
      </w:r>
    </w:p>
    <w:p w14:paraId="194BDBA8" w14:textId="543B9232" w:rsidR="006543F1" w:rsidRDefault="006543F1" w:rsidP="00C00F8F">
      <w:pPr>
        <w:bidi w:val="0"/>
        <w:spacing w:line="240" w:lineRule="auto"/>
        <w:ind w:left="1945" w:hanging="1588"/>
        <w:jc w:val="both"/>
        <w:rPr>
          <w:rFonts w:cs="David"/>
          <w:sz w:val="24"/>
          <w:szCs w:val="24"/>
        </w:rPr>
      </w:pPr>
      <w:r>
        <w:rPr>
          <w:rFonts w:cs="David"/>
          <w:sz w:val="24"/>
          <w:szCs w:val="24"/>
        </w:rPr>
        <w:t>And Whereas</w:t>
      </w:r>
      <w:r>
        <w:rPr>
          <w:rFonts w:cs="David"/>
          <w:sz w:val="24"/>
          <w:szCs w:val="24"/>
        </w:rPr>
        <w:tab/>
      </w:r>
      <w:r w:rsidR="00C00F8F">
        <w:rPr>
          <w:rFonts w:cs="David"/>
          <w:sz w:val="24"/>
          <w:szCs w:val="24"/>
        </w:rPr>
        <w:t xml:space="preserve">Training and games may be held without an audience at this stage as per the guidelines of the Ministry of Health; </w:t>
      </w:r>
    </w:p>
    <w:p w14:paraId="0C6475B6" w14:textId="796EC9F8" w:rsidR="00C00F8F" w:rsidRDefault="00C00F8F" w:rsidP="00C00F8F">
      <w:pPr>
        <w:bidi w:val="0"/>
        <w:spacing w:line="240" w:lineRule="auto"/>
        <w:ind w:left="1945" w:hanging="1588"/>
        <w:jc w:val="both"/>
        <w:rPr>
          <w:rFonts w:cs="David"/>
          <w:sz w:val="24"/>
          <w:szCs w:val="24"/>
        </w:rPr>
      </w:pPr>
      <w:r>
        <w:rPr>
          <w:rFonts w:cs="David"/>
          <w:sz w:val="24"/>
          <w:szCs w:val="24"/>
        </w:rPr>
        <w:t>And Whereas</w:t>
      </w:r>
      <w:r>
        <w:rPr>
          <w:rFonts w:cs="David"/>
          <w:sz w:val="24"/>
          <w:szCs w:val="24"/>
        </w:rPr>
        <w:tab/>
        <w:t xml:space="preserve">in the Board of Directors meeting from May 8, 2020, the </w:t>
      </w:r>
      <w:r w:rsidR="00FE2DAC">
        <w:rPr>
          <w:rFonts w:cs="David"/>
          <w:sz w:val="24"/>
          <w:szCs w:val="24"/>
        </w:rPr>
        <w:t>BSL approved</w:t>
      </w:r>
      <w:r>
        <w:rPr>
          <w:rFonts w:cs="David"/>
          <w:sz w:val="24"/>
          <w:szCs w:val="24"/>
        </w:rPr>
        <w:t xml:space="preserve"> the </w:t>
      </w:r>
      <w:r w:rsidR="008C199A">
        <w:rPr>
          <w:rFonts w:cs="David"/>
          <w:sz w:val="24"/>
          <w:szCs w:val="24"/>
        </w:rPr>
        <w:t>Super</w:t>
      </w:r>
      <w:r>
        <w:rPr>
          <w:rFonts w:cs="David"/>
          <w:sz w:val="24"/>
          <w:szCs w:val="24"/>
        </w:rPr>
        <w:t xml:space="preserve"> League's return to operations of regular training and games for the completion of the 2019/20 game season, which shall end on July 30, 2020; </w:t>
      </w:r>
    </w:p>
    <w:p w14:paraId="03FBBF91" w14:textId="243374F1" w:rsidR="00C00F8F" w:rsidRDefault="00E46EE4" w:rsidP="00C00F8F">
      <w:pPr>
        <w:bidi w:val="0"/>
        <w:spacing w:line="240" w:lineRule="auto"/>
        <w:ind w:left="1945" w:hanging="1588"/>
        <w:jc w:val="both"/>
        <w:rPr>
          <w:rFonts w:cs="David"/>
          <w:sz w:val="24"/>
          <w:szCs w:val="24"/>
        </w:rPr>
      </w:pPr>
      <w:r>
        <w:rPr>
          <w:rFonts w:cs="David"/>
          <w:sz w:val="24"/>
          <w:szCs w:val="24"/>
        </w:rPr>
        <w:t>And Whereas</w:t>
      </w:r>
      <w:r>
        <w:rPr>
          <w:rFonts w:cs="David"/>
          <w:sz w:val="24"/>
          <w:szCs w:val="24"/>
        </w:rPr>
        <w:tab/>
      </w:r>
      <w:r w:rsidR="00E44407">
        <w:rPr>
          <w:rFonts w:cs="David"/>
          <w:sz w:val="24"/>
          <w:szCs w:val="24"/>
        </w:rPr>
        <w:t xml:space="preserve">due to the coronavirus crisis, the Club together with the Players' Representation managed contacts for the purpose of reaching an agreement regarding payment of the salary remainder at the end period of the 2019/20 season only; </w:t>
      </w:r>
    </w:p>
    <w:p w14:paraId="651A019D" w14:textId="6A3804F5" w:rsidR="00E44407" w:rsidRDefault="00E44407" w:rsidP="00E44407">
      <w:pPr>
        <w:bidi w:val="0"/>
        <w:spacing w:line="240" w:lineRule="auto"/>
        <w:ind w:left="1945" w:hanging="1588"/>
        <w:jc w:val="both"/>
        <w:rPr>
          <w:rFonts w:cs="David"/>
          <w:sz w:val="24"/>
          <w:szCs w:val="24"/>
        </w:rPr>
      </w:pPr>
      <w:r>
        <w:rPr>
          <w:rFonts w:cs="David"/>
          <w:sz w:val="24"/>
          <w:szCs w:val="24"/>
        </w:rPr>
        <w:t>And Whereas</w:t>
      </w:r>
      <w:r>
        <w:rPr>
          <w:rFonts w:cs="David"/>
          <w:sz w:val="24"/>
          <w:szCs w:val="24"/>
        </w:rPr>
        <w:tab/>
        <w:t xml:space="preserve">the Parties seek to enshrine their above agreements within this Agreement. </w:t>
      </w:r>
    </w:p>
    <w:p w14:paraId="47F5E508" w14:textId="77777777" w:rsidR="00E44407" w:rsidRDefault="00E44407" w:rsidP="00EC3FF8">
      <w:pPr>
        <w:pStyle w:val="1"/>
        <w:tabs>
          <w:tab w:val="left" w:pos="720"/>
        </w:tabs>
        <w:bidi w:val="0"/>
        <w:spacing w:line="240" w:lineRule="auto"/>
        <w:ind w:left="720"/>
        <w:jc w:val="both"/>
        <w:rPr>
          <w:rFonts w:cs="David"/>
          <w:sz w:val="24"/>
          <w:szCs w:val="24"/>
          <w:u w:val="single"/>
        </w:rPr>
      </w:pPr>
      <w:r>
        <w:rPr>
          <w:rFonts w:cs="David"/>
          <w:sz w:val="24"/>
          <w:szCs w:val="24"/>
          <w:u w:val="single"/>
        </w:rPr>
        <w:t>It is therefore stipulated and agreed between the parties as follows</w:t>
      </w:r>
      <w:r>
        <w:rPr>
          <w:rFonts w:cs="David"/>
          <w:sz w:val="24"/>
          <w:szCs w:val="24"/>
        </w:rPr>
        <w:t>:</w:t>
      </w:r>
    </w:p>
    <w:p w14:paraId="38EE5049" w14:textId="03E95F0F" w:rsidR="00EC3FF8" w:rsidRDefault="00EC3FF8" w:rsidP="00EC3FF8">
      <w:pPr>
        <w:bidi w:val="0"/>
        <w:spacing w:after="200" w:line="240" w:lineRule="auto"/>
        <w:ind w:left="714" w:hanging="357"/>
        <w:jc w:val="both"/>
        <w:rPr>
          <w:rFonts w:cs="David"/>
          <w:sz w:val="24"/>
          <w:szCs w:val="24"/>
          <w:u w:val="single"/>
        </w:rPr>
      </w:pPr>
      <w:r>
        <w:rPr>
          <w:rFonts w:cs="David"/>
          <w:sz w:val="24"/>
          <w:szCs w:val="24"/>
          <w:u w:val="single"/>
        </w:rPr>
        <w:t>Application and Effect</w:t>
      </w:r>
    </w:p>
    <w:p w14:paraId="0A6675BB" w14:textId="05AC1EAB" w:rsidR="00EC3FF8" w:rsidRDefault="00EC3FF8" w:rsidP="00F87920">
      <w:pPr>
        <w:pStyle w:val="a3"/>
        <w:numPr>
          <w:ilvl w:val="0"/>
          <w:numId w:val="1"/>
        </w:numPr>
        <w:bidi w:val="0"/>
        <w:spacing w:line="240" w:lineRule="auto"/>
        <w:ind w:left="714" w:hanging="357"/>
        <w:contextualSpacing w:val="0"/>
        <w:jc w:val="both"/>
        <w:rPr>
          <w:rFonts w:cs="David"/>
          <w:sz w:val="24"/>
          <w:szCs w:val="24"/>
        </w:rPr>
      </w:pPr>
      <w:r>
        <w:rPr>
          <w:rFonts w:cs="David"/>
          <w:sz w:val="24"/>
          <w:szCs w:val="24"/>
        </w:rPr>
        <w:t xml:space="preserve">This agreement shall apply to the players with Israeli citizenship, who are registered in the Union in the Club and that employee-employer relations existed between them and the Club prior to December 31, 2019, according to the list attached as </w:t>
      </w:r>
      <w:r>
        <w:rPr>
          <w:rFonts w:cs="David"/>
          <w:b/>
          <w:bCs/>
          <w:sz w:val="24"/>
          <w:szCs w:val="24"/>
          <w:u w:val="single"/>
        </w:rPr>
        <w:t>Annex "A"</w:t>
      </w:r>
      <w:r>
        <w:rPr>
          <w:rFonts w:cs="David"/>
          <w:sz w:val="24"/>
          <w:szCs w:val="24"/>
        </w:rPr>
        <w:t xml:space="preserve"> of this agreement </w:t>
      </w:r>
      <w:r w:rsidR="00F87920">
        <w:rPr>
          <w:rFonts w:cs="David"/>
          <w:sz w:val="24"/>
          <w:szCs w:val="24"/>
        </w:rPr>
        <w:t xml:space="preserve">and constitutes an integral part thereof. </w:t>
      </w:r>
    </w:p>
    <w:p w14:paraId="37214942" w14:textId="77777777" w:rsidR="001737BF" w:rsidRDefault="001737BF" w:rsidP="00FE2DAC">
      <w:pPr>
        <w:pStyle w:val="a3"/>
        <w:bidi w:val="0"/>
        <w:spacing w:line="240" w:lineRule="auto"/>
        <w:ind w:left="714"/>
        <w:contextualSpacing w:val="0"/>
        <w:jc w:val="both"/>
        <w:rPr>
          <w:rFonts w:cs="David"/>
          <w:sz w:val="24"/>
          <w:szCs w:val="24"/>
        </w:rPr>
      </w:pPr>
    </w:p>
    <w:p w14:paraId="6E199C93" w14:textId="337DA64C" w:rsidR="00F87920" w:rsidRPr="00F87920" w:rsidRDefault="00F87920" w:rsidP="00F87920">
      <w:pPr>
        <w:pStyle w:val="a3"/>
        <w:bidi w:val="0"/>
        <w:spacing w:line="240" w:lineRule="auto"/>
        <w:ind w:left="1440"/>
        <w:contextualSpacing w:val="0"/>
        <w:jc w:val="both"/>
        <w:rPr>
          <w:rFonts w:cs="David"/>
          <w:sz w:val="24"/>
          <w:szCs w:val="24"/>
        </w:rPr>
      </w:pPr>
      <w:r>
        <w:rPr>
          <w:rFonts w:cs="David"/>
          <w:sz w:val="24"/>
          <w:szCs w:val="24"/>
        </w:rPr>
        <w:lastRenderedPageBreak/>
        <w:t xml:space="preserve">The original contract of each player in the </w:t>
      </w:r>
      <w:r>
        <w:rPr>
          <w:rFonts w:cs="David"/>
          <w:b/>
          <w:bCs/>
          <w:sz w:val="24"/>
          <w:szCs w:val="24"/>
          <w:u w:val="single"/>
        </w:rPr>
        <w:t>Annex "A"</w:t>
      </w:r>
      <w:r>
        <w:rPr>
          <w:rFonts w:cs="David"/>
          <w:sz w:val="24"/>
          <w:szCs w:val="24"/>
        </w:rPr>
        <w:t xml:space="preserve"> list vis-à-vis the Club, as deposited by the Club for that player with the Budget Auditing Authority in the 2019/20 season, shall hereinafter be referred to as:</w:t>
      </w:r>
      <w:r>
        <w:rPr>
          <w:rFonts w:cs="David"/>
          <w:b/>
          <w:bCs/>
          <w:sz w:val="24"/>
          <w:szCs w:val="24"/>
        </w:rPr>
        <w:t xml:space="preserve"> </w:t>
      </w:r>
      <w:r w:rsidRPr="00F87920">
        <w:rPr>
          <w:rFonts w:cs="David"/>
          <w:b/>
          <w:bCs/>
          <w:sz w:val="24"/>
          <w:szCs w:val="24"/>
        </w:rPr>
        <w:t>"the Original Contract"</w:t>
      </w:r>
      <w:r>
        <w:rPr>
          <w:rFonts w:cs="David"/>
          <w:sz w:val="24"/>
          <w:szCs w:val="24"/>
        </w:rPr>
        <w:t>.</w:t>
      </w:r>
    </w:p>
    <w:p w14:paraId="13A8F50F" w14:textId="7BCCB57C" w:rsidR="00F87920" w:rsidRDefault="0024514C" w:rsidP="00F87920">
      <w:pPr>
        <w:pStyle w:val="a3"/>
        <w:numPr>
          <w:ilvl w:val="0"/>
          <w:numId w:val="1"/>
        </w:numPr>
        <w:bidi w:val="0"/>
        <w:spacing w:line="360" w:lineRule="auto"/>
        <w:ind w:left="714" w:hanging="357"/>
        <w:jc w:val="both"/>
        <w:rPr>
          <w:rFonts w:cs="David"/>
          <w:sz w:val="24"/>
          <w:szCs w:val="24"/>
        </w:rPr>
      </w:pPr>
      <w:r>
        <w:rPr>
          <w:rFonts w:cs="David"/>
          <w:sz w:val="24"/>
          <w:szCs w:val="24"/>
        </w:rPr>
        <w:t xml:space="preserve">This Agreement shall be in effect only until the end of the 2019/20 game season. </w:t>
      </w:r>
    </w:p>
    <w:p w14:paraId="01786949" w14:textId="77777777" w:rsidR="00CE444D" w:rsidRDefault="00CE444D" w:rsidP="0024514C">
      <w:pPr>
        <w:bidi w:val="0"/>
        <w:spacing w:line="240" w:lineRule="auto"/>
        <w:ind w:left="357"/>
        <w:jc w:val="both"/>
        <w:rPr>
          <w:rFonts w:cs="David"/>
          <w:sz w:val="24"/>
          <w:szCs w:val="24"/>
          <w:u w:val="single"/>
        </w:rPr>
      </w:pPr>
    </w:p>
    <w:p w14:paraId="029ECE51" w14:textId="0734EE4C" w:rsidR="0024514C" w:rsidRDefault="0024514C" w:rsidP="0024514C">
      <w:pPr>
        <w:bidi w:val="0"/>
        <w:spacing w:line="240" w:lineRule="auto"/>
        <w:ind w:left="357"/>
        <w:jc w:val="both"/>
        <w:rPr>
          <w:rFonts w:cs="David"/>
          <w:sz w:val="24"/>
          <w:szCs w:val="24"/>
          <w:u w:val="single"/>
        </w:rPr>
      </w:pPr>
      <w:r>
        <w:rPr>
          <w:rFonts w:cs="David"/>
          <w:sz w:val="24"/>
          <w:szCs w:val="24"/>
          <w:u w:val="single"/>
        </w:rPr>
        <w:t>Training and Games Procedure</w:t>
      </w:r>
    </w:p>
    <w:p w14:paraId="551A8FAE" w14:textId="31F7F1AC" w:rsidR="0024514C" w:rsidRDefault="00A91C95" w:rsidP="0024514C">
      <w:pPr>
        <w:pStyle w:val="a3"/>
        <w:numPr>
          <w:ilvl w:val="0"/>
          <w:numId w:val="1"/>
        </w:numPr>
        <w:bidi w:val="0"/>
        <w:spacing w:line="240" w:lineRule="auto"/>
        <w:ind w:left="714" w:hanging="357"/>
        <w:contextualSpacing w:val="0"/>
        <w:jc w:val="both"/>
        <w:rPr>
          <w:rFonts w:cs="David"/>
          <w:sz w:val="24"/>
          <w:szCs w:val="24"/>
        </w:rPr>
      </w:pPr>
      <w:r>
        <w:rPr>
          <w:rFonts w:cs="David"/>
          <w:sz w:val="24"/>
          <w:szCs w:val="24"/>
        </w:rPr>
        <w:t xml:space="preserve">The commencement date for training is Monday, June 1, 2020. </w:t>
      </w:r>
    </w:p>
    <w:p w14:paraId="0FFF2E3A" w14:textId="47F3114C" w:rsidR="00A91C95" w:rsidRDefault="00A91C95" w:rsidP="00A91C95">
      <w:pPr>
        <w:pStyle w:val="a3"/>
        <w:numPr>
          <w:ilvl w:val="0"/>
          <w:numId w:val="1"/>
        </w:numPr>
        <w:bidi w:val="0"/>
        <w:spacing w:line="240" w:lineRule="auto"/>
        <w:ind w:left="714" w:hanging="357"/>
        <w:contextualSpacing w:val="0"/>
        <w:jc w:val="both"/>
        <w:rPr>
          <w:rFonts w:cs="David"/>
          <w:sz w:val="24"/>
          <w:szCs w:val="24"/>
        </w:rPr>
      </w:pPr>
      <w:r>
        <w:rPr>
          <w:rFonts w:cs="David"/>
          <w:sz w:val="24"/>
          <w:szCs w:val="24"/>
        </w:rPr>
        <w:t xml:space="preserve">The Final Game – The Playoff Final Game shall take place on July 30, 2020 – The date on which the 2019/20 </w:t>
      </w:r>
      <w:r w:rsidR="007A3997">
        <w:rPr>
          <w:rFonts w:cs="David"/>
          <w:sz w:val="24"/>
          <w:szCs w:val="24"/>
        </w:rPr>
        <w:t xml:space="preserve">season ends. As of this date, it shall be considered </w:t>
      </w:r>
      <w:r w:rsidR="006F792F">
        <w:rPr>
          <w:rFonts w:cs="David"/>
          <w:sz w:val="24"/>
          <w:szCs w:val="24"/>
        </w:rPr>
        <w:t xml:space="preserve">the off-season, with all that entails. </w:t>
      </w:r>
    </w:p>
    <w:p w14:paraId="52EB66C7" w14:textId="23CC0919" w:rsidR="006F792F" w:rsidRDefault="006F792F" w:rsidP="006F792F">
      <w:pPr>
        <w:pStyle w:val="a3"/>
        <w:numPr>
          <w:ilvl w:val="0"/>
          <w:numId w:val="1"/>
        </w:numPr>
        <w:bidi w:val="0"/>
        <w:spacing w:line="240" w:lineRule="auto"/>
        <w:ind w:left="714" w:hanging="357"/>
        <w:contextualSpacing w:val="0"/>
        <w:jc w:val="both"/>
        <w:rPr>
          <w:rFonts w:cs="David"/>
          <w:sz w:val="24"/>
          <w:szCs w:val="24"/>
        </w:rPr>
      </w:pPr>
      <w:r>
        <w:rPr>
          <w:rFonts w:cs="David"/>
          <w:sz w:val="24"/>
          <w:szCs w:val="24"/>
        </w:rPr>
        <w:t xml:space="preserve">The players shall </w:t>
      </w:r>
      <w:r w:rsidR="00157D4B">
        <w:rPr>
          <w:rFonts w:cs="David"/>
          <w:sz w:val="24"/>
          <w:szCs w:val="24"/>
        </w:rPr>
        <w:t xml:space="preserve">follow the directives of the Ministry of Health and the Ministry of Sports regarding conduct and quarantine for professional sport. </w:t>
      </w:r>
    </w:p>
    <w:p w14:paraId="57D9A3DC" w14:textId="0A6F5ACF" w:rsidR="00157D4B" w:rsidRDefault="00157D4B" w:rsidP="00157D4B">
      <w:pPr>
        <w:bidi w:val="0"/>
        <w:spacing w:line="240" w:lineRule="auto"/>
        <w:ind w:left="357"/>
        <w:jc w:val="both"/>
        <w:rPr>
          <w:rFonts w:cs="David"/>
          <w:sz w:val="24"/>
          <w:szCs w:val="24"/>
          <w:u w:val="single"/>
          <w:rtl/>
        </w:rPr>
      </w:pPr>
      <w:r>
        <w:rPr>
          <w:rFonts w:cs="David"/>
          <w:sz w:val="24"/>
          <w:szCs w:val="24"/>
          <w:u w:val="single"/>
        </w:rPr>
        <w:t>Salary of the Players</w:t>
      </w:r>
    </w:p>
    <w:p w14:paraId="00766F5E" w14:textId="626E98D1" w:rsidR="00157D4B" w:rsidRDefault="00157D4B" w:rsidP="00157D4B">
      <w:pPr>
        <w:pStyle w:val="a3"/>
        <w:numPr>
          <w:ilvl w:val="0"/>
          <w:numId w:val="1"/>
        </w:numPr>
        <w:bidi w:val="0"/>
        <w:spacing w:line="240" w:lineRule="auto"/>
        <w:ind w:left="714" w:hanging="357"/>
        <w:contextualSpacing w:val="0"/>
        <w:jc w:val="both"/>
        <w:rPr>
          <w:rFonts w:cs="David"/>
          <w:sz w:val="24"/>
          <w:szCs w:val="24"/>
        </w:rPr>
      </w:pPr>
      <w:r>
        <w:rPr>
          <w:rFonts w:cs="David"/>
          <w:sz w:val="24"/>
          <w:szCs w:val="24"/>
        </w:rPr>
        <w:t xml:space="preserve">The salary of the players for the 2019/20 season shall be 75% (seventy-five percent) of the player's total annual salary as the original contract was intended to be (hereinafter: </w:t>
      </w:r>
      <w:r>
        <w:rPr>
          <w:rFonts w:cs="David"/>
          <w:b/>
          <w:bCs/>
          <w:sz w:val="24"/>
          <w:szCs w:val="24"/>
        </w:rPr>
        <w:t>"the Adjusted Salary"</w:t>
      </w:r>
      <w:r>
        <w:rPr>
          <w:rFonts w:cs="David"/>
          <w:sz w:val="24"/>
          <w:szCs w:val="24"/>
        </w:rPr>
        <w:t xml:space="preserve">) – the net salary, which shall be translated to gross, as per the rules of the Budget Audit Authority and the stipulations of Section 7 below. The remainder of the adjusted salary for each player, beyond receipt that the player already received with regards to his employment, shall be divided into three equal salaries: June (which is paid in July), July (which is paid in August) and August (which is paid in September) (hereinafter: the Salary Payment Period). </w:t>
      </w:r>
    </w:p>
    <w:p w14:paraId="60FE185B" w14:textId="0D111791" w:rsidR="00157D4B" w:rsidRDefault="00157D4B" w:rsidP="00157D4B">
      <w:pPr>
        <w:pStyle w:val="a3"/>
        <w:bidi w:val="0"/>
        <w:spacing w:line="240" w:lineRule="auto"/>
        <w:ind w:left="505" w:firstLine="210"/>
        <w:contextualSpacing w:val="0"/>
        <w:jc w:val="both"/>
        <w:rPr>
          <w:rFonts w:cs="David"/>
          <w:sz w:val="24"/>
          <w:szCs w:val="24"/>
        </w:rPr>
      </w:pPr>
      <w:r>
        <w:rPr>
          <w:rFonts w:cs="David"/>
          <w:sz w:val="24"/>
          <w:szCs w:val="24"/>
        </w:rPr>
        <w:t xml:space="preserve">The Salary of the Players – refers to the base salary including bonuses. </w:t>
      </w:r>
    </w:p>
    <w:p w14:paraId="1CF28778" w14:textId="286F89FB" w:rsidR="00157D4B" w:rsidRDefault="00157D4B" w:rsidP="00157D4B">
      <w:pPr>
        <w:pStyle w:val="a3"/>
        <w:numPr>
          <w:ilvl w:val="0"/>
          <w:numId w:val="1"/>
        </w:numPr>
        <w:bidi w:val="0"/>
        <w:spacing w:line="240" w:lineRule="auto"/>
        <w:ind w:left="714" w:hanging="357"/>
        <w:contextualSpacing w:val="0"/>
        <w:jc w:val="both"/>
        <w:rPr>
          <w:rFonts w:cs="David"/>
          <w:sz w:val="24"/>
          <w:szCs w:val="24"/>
        </w:rPr>
      </w:pPr>
      <w:r>
        <w:rPr>
          <w:rFonts w:cs="David"/>
          <w:sz w:val="24"/>
          <w:szCs w:val="24"/>
        </w:rPr>
        <w:t xml:space="preserve">Notwithstanding the foregoing in Section 6 above, a player who earns up to NIS 8,000 gross per month (including bonuses and/or reimbursements) shall not be deducted any amount and shall be entitled to </w:t>
      </w:r>
      <w:r w:rsidR="009913E7">
        <w:rPr>
          <w:rFonts w:cs="David"/>
          <w:sz w:val="24"/>
          <w:szCs w:val="24"/>
        </w:rPr>
        <w:t xml:space="preserve">the salary under </w:t>
      </w:r>
      <w:r>
        <w:rPr>
          <w:rFonts w:cs="David"/>
          <w:sz w:val="24"/>
          <w:szCs w:val="24"/>
        </w:rPr>
        <w:t xml:space="preserve">his </w:t>
      </w:r>
      <w:r w:rsidR="009913E7">
        <w:rPr>
          <w:rFonts w:cs="David"/>
          <w:sz w:val="24"/>
          <w:szCs w:val="24"/>
        </w:rPr>
        <w:t xml:space="preserve">original annual contract, without adjustments, yet in any event, it shall not exceed, together with the unemployment benefits the player received during the unpaid leave period, the salary under the original annual contract. </w:t>
      </w:r>
    </w:p>
    <w:p w14:paraId="4A14B486" w14:textId="216CB50A" w:rsidR="009913E7" w:rsidRDefault="009913E7" w:rsidP="009913E7">
      <w:pPr>
        <w:pStyle w:val="a3"/>
        <w:bidi w:val="0"/>
        <w:spacing w:line="240" w:lineRule="auto"/>
        <w:ind w:left="714"/>
        <w:contextualSpacing w:val="0"/>
        <w:jc w:val="both"/>
        <w:rPr>
          <w:rFonts w:cs="David"/>
          <w:sz w:val="24"/>
          <w:szCs w:val="24"/>
        </w:rPr>
      </w:pPr>
      <w:r>
        <w:rPr>
          <w:rFonts w:cs="David"/>
          <w:sz w:val="24"/>
          <w:szCs w:val="24"/>
        </w:rPr>
        <w:t>A player who earns up to NIS 10,400 gross per month (including bonuses), shall receive a salary that is 90% of the total salary under the original annual contract of that player until the end of the salary payment period, yet in any event, it shall not exceed, together with the unemployment benefits the player received during the unpaid leave period, the salary under the original annual contract.</w:t>
      </w:r>
    </w:p>
    <w:p w14:paraId="16C67C56" w14:textId="41CA5BEE" w:rsidR="009913E7" w:rsidRDefault="009913E7" w:rsidP="009913E7">
      <w:pPr>
        <w:pStyle w:val="a3"/>
        <w:numPr>
          <w:ilvl w:val="0"/>
          <w:numId w:val="1"/>
        </w:numPr>
        <w:bidi w:val="0"/>
        <w:spacing w:line="240" w:lineRule="auto"/>
        <w:ind w:left="714" w:hanging="357"/>
        <w:contextualSpacing w:val="0"/>
        <w:jc w:val="both"/>
        <w:rPr>
          <w:rFonts w:cs="David"/>
          <w:sz w:val="24"/>
          <w:szCs w:val="24"/>
        </w:rPr>
      </w:pPr>
      <w:r>
        <w:rPr>
          <w:rFonts w:cs="David"/>
          <w:sz w:val="24"/>
          <w:szCs w:val="24"/>
        </w:rPr>
        <w:t xml:space="preserve">It is clarified that, </w:t>
      </w:r>
      <w:r>
        <w:rPr>
          <w:rFonts w:cs="David"/>
          <w:sz w:val="24"/>
          <w:szCs w:val="24"/>
          <w:u w:val="single"/>
        </w:rPr>
        <w:t>excluding the unemployment benefits only for the unpaid leave period</w:t>
      </w:r>
      <w:r>
        <w:rPr>
          <w:rFonts w:cs="David"/>
          <w:sz w:val="24"/>
          <w:szCs w:val="24"/>
        </w:rPr>
        <w:t xml:space="preserve">, any payment for injury pay </w:t>
      </w:r>
      <w:r w:rsidR="00956117">
        <w:rPr>
          <w:rFonts w:cs="David"/>
          <w:sz w:val="24"/>
          <w:szCs w:val="24"/>
        </w:rPr>
        <w:t xml:space="preserve">over the unpaid leave period up to the total unemployment received during the unpaid leave shall be included </w:t>
      </w:r>
      <w:r w:rsidR="00956117">
        <w:rPr>
          <w:rFonts w:cs="David"/>
          <w:sz w:val="24"/>
          <w:szCs w:val="24"/>
        </w:rPr>
        <w:lastRenderedPageBreak/>
        <w:t xml:space="preserve">and deemed part of the adjusted salary as defined in Section 5 above, and in accordance with the terms of the contract between each player and the Club. </w:t>
      </w:r>
    </w:p>
    <w:p w14:paraId="0B358CDC" w14:textId="52C9BEB1" w:rsidR="00956117" w:rsidRDefault="00063BD3" w:rsidP="00956117">
      <w:pPr>
        <w:pStyle w:val="a3"/>
        <w:numPr>
          <w:ilvl w:val="0"/>
          <w:numId w:val="1"/>
        </w:numPr>
        <w:bidi w:val="0"/>
        <w:spacing w:line="240" w:lineRule="auto"/>
        <w:ind w:left="714" w:hanging="357"/>
        <w:contextualSpacing w:val="0"/>
        <w:jc w:val="both"/>
        <w:rPr>
          <w:rFonts w:cs="David"/>
          <w:sz w:val="24"/>
          <w:szCs w:val="24"/>
        </w:rPr>
      </w:pPr>
      <w:r>
        <w:rPr>
          <w:rFonts w:cs="David"/>
          <w:sz w:val="24"/>
          <w:szCs w:val="24"/>
        </w:rPr>
        <w:t xml:space="preserve">The social benefits of the player under the original contract (such as provisions for Social Security, provident funds and to calculate social benefits), shall be calculated and/or deducted in the June to August 2020 salaries in accordance with the player's annual salary in the original contract, and under any law. </w:t>
      </w:r>
    </w:p>
    <w:p w14:paraId="20A56D09" w14:textId="4E4F4D18" w:rsidR="00063BD3" w:rsidRDefault="00EA70C9" w:rsidP="00063BD3">
      <w:pPr>
        <w:pStyle w:val="a3"/>
        <w:numPr>
          <w:ilvl w:val="0"/>
          <w:numId w:val="1"/>
        </w:numPr>
        <w:bidi w:val="0"/>
        <w:spacing w:line="240" w:lineRule="auto"/>
        <w:ind w:left="714" w:hanging="357"/>
        <w:contextualSpacing w:val="0"/>
        <w:jc w:val="both"/>
        <w:rPr>
          <w:rFonts w:cs="David"/>
          <w:sz w:val="24"/>
          <w:szCs w:val="24"/>
        </w:rPr>
      </w:pPr>
      <w:r>
        <w:rPr>
          <w:rFonts w:cs="David"/>
          <w:sz w:val="24"/>
          <w:szCs w:val="24"/>
        </w:rPr>
        <w:t xml:space="preserve">The fringe benefits, such as housing, vehicle expenses, fuel card etc. shall continue in full under the same terms, or under equivalent terms to those in the original contract until July 31, 2020, unless the original contract provides for said terms until a later date. </w:t>
      </w:r>
    </w:p>
    <w:p w14:paraId="1348006D" w14:textId="6390A972" w:rsidR="00EA70C9" w:rsidRDefault="00EA70C9" w:rsidP="00EA70C9">
      <w:pPr>
        <w:pStyle w:val="a3"/>
        <w:numPr>
          <w:ilvl w:val="0"/>
          <w:numId w:val="1"/>
        </w:numPr>
        <w:bidi w:val="0"/>
        <w:spacing w:line="240" w:lineRule="auto"/>
        <w:ind w:left="714" w:hanging="357"/>
        <w:contextualSpacing w:val="0"/>
        <w:jc w:val="both"/>
        <w:rPr>
          <w:rFonts w:cs="David"/>
          <w:sz w:val="24"/>
          <w:szCs w:val="24"/>
        </w:rPr>
      </w:pPr>
      <w:r>
        <w:rPr>
          <w:rFonts w:cs="David"/>
          <w:sz w:val="24"/>
          <w:szCs w:val="24"/>
        </w:rPr>
        <w:t>It is clarified that only payments of the unemployment benefits for the unpaid leave period were made to the player by the National Insurance Institute for the period between March 15 and May 31 (</w:t>
      </w:r>
      <w:r>
        <w:rPr>
          <w:rFonts w:cs="David"/>
          <w:b/>
          <w:bCs/>
          <w:sz w:val="24"/>
          <w:szCs w:val="24"/>
        </w:rPr>
        <w:t xml:space="preserve">"the </w:t>
      </w:r>
      <w:bookmarkStart w:id="1" w:name="_Hlk41774133"/>
      <w:r>
        <w:rPr>
          <w:rFonts w:cs="David"/>
          <w:b/>
          <w:bCs/>
          <w:sz w:val="24"/>
          <w:szCs w:val="24"/>
        </w:rPr>
        <w:t>Unpaid Leave Period</w:t>
      </w:r>
      <w:bookmarkEnd w:id="1"/>
      <w:r>
        <w:rPr>
          <w:rFonts w:cs="David"/>
          <w:b/>
          <w:bCs/>
          <w:sz w:val="24"/>
          <w:szCs w:val="24"/>
        </w:rPr>
        <w:t>"</w:t>
      </w:r>
      <w:r>
        <w:rPr>
          <w:rFonts w:cs="David"/>
          <w:sz w:val="24"/>
          <w:szCs w:val="24"/>
        </w:rPr>
        <w:t xml:space="preserve">), are not related to this agreement and cannot be offset. </w:t>
      </w:r>
    </w:p>
    <w:p w14:paraId="59794F46" w14:textId="5E66C520" w:rsidR="003058AE" w:rsidRDefault="00EA70C9" w:rsidP="003058AE">
      <w:pPr>
        <w:pStyle w:val="a3"/>
        <w:tabs>
          <w:tab w:val="right" w:pos="1560"/>
        </w:tabs>
        <w:bidi w:val="0"/>
        <w:spacing w:line="240" w:lineRule="auto"/>
        <w:ind w:left="714"/>
        <w:contextualSpacing w:val="0"/>
        <w:jc w:val="both"/>
        <w:rPr>
          <w:rFonts w:cs="David"/>
          <w:sz w:val="24"/>
          <w:szCs w:val="24"/>
        </w:rPr>
      </w:pPr>
      <w:r>
        <w:rPr>
          <w:rFonts w:cs="David"/>
          <w:sz w:val="24"/>
          <w:szCs w:val="24"/>
        </w:rPr>
        <w:t xml:space="preserve">Insofar as the </w:t>
      </w:r>
      <w:r w:rsidR="00375056">
        <w:rPr>
          <w:rFonts w:cs="David"/>
          <w:sz w:val="24"/>
          <w:szCs w:val="24"/>
        </w:rPr>
        <w:t xml:space="preserve">player was injured prior to the beginning of the unpaid leave, and received injury pay for the </w:t>
      </w:r>
      <w:r w:rsidR="00375056" w:rsidRPr="00375056">
        <w:rPr>
          <w:rFonts w:cs="David"/>
          <w:sz w:val="24"/>
          <w:szCs w:val="24"/>
        </w:rPr>
        <w:t>unpaid leave period</w:t>
      </w:r>
      <w:r w:rsidR="00375056">
        <w:rPr>
          <w:rFonts w:cs="David"/>
          <w:sz w:val="24"/>
          <w:szCs w:val="24"/>
        </w:rPr>
        <w:t xml:space="preserve"> (and as a result of which, could not and did not receive unemployment benefits for the </w:t>
      </w:r>
      <w:r w:rsidR="00375056" w:rsidRPr="00375056">
        <w:rPr>
          <w:rFonts w:cs="David"/>
          <w:sz w:val="24"/>
          <w:szCs w:val="24"/>
        </w:rPr>
        <w:t>unpaid leave period</w:t>
      </w:r>
      <w:r w:rsidR="00375056">
        <w:rPr>
          <w:rFonts w:cs="David"/>
          <w:sz w:val="24"/>
          <w:szCs w:val="24"/>
        </w:rPr>
        <w:t xml:space="preserve">), then only the amount that is equal to the total </w:t>
      </w:r>
      <w:r w:rsidR="00375056">
        <w:rPr>
          <w:rFonts w:cs="David"/>
          <w:sz w:val="24"/>
          <w:szCs w:val="24"/>
          <w:u w:val="single"/>
        </w:rPr>
        <w:t xml:space="preserve">unemployment benefits that were due to that player had he been unemployed during the </w:t>
      </w:r>
      <w:r w:rsidR="00375056" w:rsidRPr="00375056">
        <w:rPr>
          <w:rFonts w:cs="David"/>
          <w:sz w:val="24"/>
          <w:szCs w:val="24"/>
          <w:u w:val="single"/>
        </w:rPr>
        <w:t>Unpaid Leave Period</w:t>
      </w:r>
      <w:r w:rsidR="00375056">
        <w:rPr>
          <w:rFonts w:cs="David"/>
          <w:sz w:val="24"/>
          <w:szCs w:val="24"/>
        </w:rPr>
        <w:t xml:space="preserve">, cannot be offset from the adjusted salary under this agreement, and shall remain with the player. See </w:t>
      </w:r>
      <w:r w:rsidR="003058AE">
        <w:rPr>
          <w:rFonts w:cs="David"/>
          <w:sz w:val="24"/>
          <w:szCs w:val="24"/>
        </w:rPr>
        <w:t xml:space="preserve">an </w:t>
      </w:r>
      <w:r w:rsidR="00375056">
        <w:rPr>
          <w:rFonts w:cs="David"/>
          <w:sz w:val="24"/>
          <w:szCs w:val="24"/>
        </w:rPr>
        <w:t>example</w:t>
      </w:r>
      <w:r w:rsidR="003058AE">
        <w:rPr>
          <w:rFonts w:cs="David"/>
          <w:sz w:val="24"/>
          <w:szCs w:val="24"/>
        </w:rPr>
        <w:t xml:space="preserve"> for </w:t>
      </w:r>
      <w:r w:rsidR="00375056">
        <w:rPr>
          <w:rFonts w:cs="David"/>
          <w:sz w:val="24"/>
          <w:szCs w:val="24"/>
        </w:rPr>
        <w:t>illustrat</w:t>
      </w:r>
      <w:r w:rsidR="003058AE">
        <w:rPr>
          <w:rFonts w:cs="David"/>
          <w:sz w:val="24"/>
          <w:szCs w:val="24"/>
        </w:rPr>
        <w:t xml:space="preserve">ion in </w:t>
      </w:r>
      <w:r w:rsidR="003058AE">
        <w:rPr>
          <w:rFonts w:cs="David"/>
          <w:b/>
          <w:bCs/>
          <w:sz w:val="24"/>
          <w:szCs w:val="24"/>
          <w:u w:val="single"/>
        </w:rPr>
        <w:t>Annex "B"</w:t>
      </w:r>
      <w:r w:rsidR="003058AE">
        <w:rPr>
          <w:rFonts w:cs="David"/>
          <w:sz w:val="24"/>
          <w:szCs w:val="24"/>
        </w:rPr>
        <w:t xml:space="preserve"> attached to this agreement. </w:t>
      </w:r>
    </w:p>
    <w:p w14:paraId="29A92F44" w14:textId="4A2F4290" w:rsidR="003058AE" w:rsidRDefault="003058AE" w:rsidP="007B34F7">
      <w:pPr>
        <w:pStyle w:val="a3"/>
        <w:numPr>
          <w:ilvl w:val="0"/>
          <w:numId w:val="1"/>
        </w:numPr>
        <w:bidi w:val="0"/>
        <w:spacing w:line="240" w:lineRule="auto"/>
        <w:ind w:left="714" w:hanging="357"/>
        <w:contextualSpacing w:val="0"/>
        <w:jc w:val="both"/>
        <w:rPr>
          <w:rFonts w:cs="David"/>
          <w:sz w:val="24"/>
          <w:szCs w:val="24"/>
        </w:rPr>
      </w:pPr>
      <w:r>
        <w:rPr>
          <w:rFonts w:cs="David"/>
          <w:sz w:val="24"/>
          <w:szCs w:val="24"/>
        </w:rPr>
        <w:t xml:space="preserve">Insofar as </w:t>
      </w:r>
      <w:r w:rsidR="002568C7">
        <w:rPr>
          <w:rFonts w:cs="David"/>
          <w:sz w:val="24"/>
          <w:szCs w:val="24"/>
        </w:rPr>
        <w:t>aid</w:t>
      </w:r>
      <w:r>
        <w:rPr>
          <w:rFonts w:cs="David"/>
          <w:sz w:val="24"/>
          <w:szCs w:val="24"/>
        </w:rPr>
        <w:t xml:space="preserve"> / a grant (</w:t>
      </w:r>
      <w:r w:rsidR="007B34F7">
        <w:rPr>
          <w:rFonts w:cs="David"/>
          <w:sz w:val="24"/>
          <w:szCs w:val="24"/>
        </w:rPr>
        <w:t xml:space="preserve">not a loan) is received by the teams from the Ministry of Finance and/or the Ministry of Sports only for the 2019/20 season, the Club shall allocate 10% of the grant that is actually received in addition to the adjusted salary, to the players equally, this up to a ceiling of 90% of the net total of the original contract of each player (not including bonuses). For the avoidance of doubt, it is clarified that payments the Club receives </w:t>
      </w:r>
      <w:r w:rsidR="001C14CC">
        <w:rPr>
          <w:rFonts w:cs="David"/>
          <w:sz w:val="24"/>
          <w:szCs w:val="24"/>
        </w:rPr>
        <w:t xml:space="preserve">from </w:t>
      </w:r>
      <w:r w:rsidR="007B34F7">
        <w:rPr>
          <w:rFonts w:cs="David"/>
          <w:sz w:val="24"/>
          <w:szCs w:val="24"/>
        </w:rPr>
        <w:t xml:space="preserve">the </w:t>
      </w:r>
      <w:r w:rsidR="001C14CC">
        <w:rPr>
          <w:rFonts w:cs="David"/>
          <w:sz w:val="24"/>
          <w:szCs w:val="24"/>
        </w:rPr>
        <w:t>B</w:t>
      </w:r>
      <w:r w:rsidR="008C199A">
        <w:rPr>
          <w:rFonts w:cs="David"/>
          <w:sz w:val="24"/>
          <w:szCs w:val="24"/>
        </w:rPr>
        <w:t xml:space="preserve">SL </w:t>
      </w:r>
      <w:r w:rsidR="007B34F7">
        <w:rPr>
          <w:rFonts w:cs="David"/>
          <w:sz w:val="24"/>
          <w:szCs w:val="24"/>
        </w:rPr>
        <w:t xml:space="preserve">within the framework of the regular payments the League's teams receive from </w:t>
      </w:r>
      <w:r w:rsidR="002568C7">
        <w:rPr>
          <w:rFonts w:cs="David"/>
          <w:sz w:val="24"/>
          <w:szCs w:val="24"/>
        </w:rPr>
        <w:t xml:space="preserve">the </w:t>
      </w:r>
      <w:r w:rsidR="008C199A">
        <w:rPr>
          <w:rFonts w:cs="David"/>
          <w:sz w:val="24"/>
          <w:szCs w:val="24"/>
        </w:rPr>
        <w:t xml:space="preserve">BSL </w:t>
      </w:r>
      <w:r w:rsidR="002568C7">
        <w:rPr>
          <w:rFonts w:cs="David"/>
          <w:sz w:val="24"/>
          <w:szCs w:val="24"/>
        </w:rPr>
        <w:t xml:space="preserve">during the season are not and shall not be considered as aid / a grant for the purposes of this Section. </w:t>
      </w:r>
    </w:p>
    <w:p w14:paraId="4265C712" w14:textId="4216FA57" w:rsidR="002568C7" w:rsidRDefault="002568C7" w:rsidP="002568C7">
      <w:pPr>
        <w:pStyle w:val="a3"/>
        <w:numPr>
          <w:ilvl w:val="0"/>
          <w:numId w:val="1"/>
        </w:numPr>
        <w:bidi w:val="0"/>
        <w:spacing w:line="240" w:lineRule="auto"/>
        <w:ind w:left="714" w:hanging="357"/>
        <w:contextualSpacing w:val="0"/>
        <w:jc w:val="both"/>
        <w:rPr>
          <w:rFonts w:cs="David"/>
          <w:sz w:val="24"/>
          <w:szCs w:val="24"/>
        </w:rPr>
      </w:pPr>
      <w:r>
        <w:rPr>
          <w:rFonts w:cs="David"/>
          <w:sz w:val="24"/>
          <w:szCs w:val="24"/>
        </w:rPr>
        <w:t xml:space="preserve">Bonuses for participation in the Final Four as well as the championship (hereinafter: </w:t>
      </w:r>
      <w:r>
        <w:rPr>
          <w:rFonts w:cs="David"/>
          <w:b/>
          <w:bCs/>
          <w:sz w:val="24"/>
          <w:szCs w:val="24"/>
        </w:rPr>
        <w:t>"Placement Bonuses"</w:t>
      </w:r>
      <w:r>
        <w:rPr>
          <w:rFonts w:cs="David"/>
          <w:sz w:val="24"/>
          <w:szCs w:val="24"/>
        </w:rPr>
        <w:t xml:space="preserve">) shall be paid according to the following terms: </w:t>
      </w:r>
    </w:p>
    <w:p w14:paraId="2B5AED85" w14:textId="745E505D" w:rsidR="002568C7" w:rsidRDefault="002568C7" w:rsidP="002568C7">
      <w:pPr>
        <w:pStyle w:val="a3"/>
        <w:numPr>
          <w:ilvl w:val="1"/>
          <w:numId w:val="1"/>
        </w:numPr>
        <w:bidi w:val="0"/>
        <w:spacing w:line="240" w:lineRule="auto"/>
        <w:ind w:left="1219" w:hanging="357"/>
        <w:contextualSpacing w:val="0"/>
        <w:jc w:val="both"/>
        <w:rPr>
          <w:rFonts w:cs="David"/>
          <w:sz w:val="24"/>
          <w:szCs w:val="24"/>
        </w:rPr>
      </w:pPr>
      <w:r>
        <w:rPr>
          <w:rFonts w:cs="David"/>
          <w:sz w:val="24"/>
          <w:szCs w:val="24"/>
        </w:rPr>
        <w:t xml:space="preserve">Insofar as a player achieves a placement that entitles him to a placement bonus, a total of 55% of the placement bonus in the player's employment agreement shall be paid unconditionally. </w:t>
      </w:r>
    </w:p>
    <w:p w14:paraId="230DF92C" w14:textId="6FC72503" w:rsidR="002568C7" w:rsidRDefault="00B9182B" w:rsidP="002568C7">
      <w:pPr>
        <w:pStyle w:val="a3"/>
        <w:bidi w:val="0"/>
        <w:spacing w:line="240" w:lineRule="auto"/>
        <w:ind w:left="1225"/>
        <w:contextualSpacing w:val="0"/>
        <w:jc w:val="both"/>
        <w:rPr>
          <w:rFonts w:cs="David"/>
          <w:sz w:val="24"/>
          <w:szCs w:val="24"/>
        </w:rPr>
      </w:pPr>
      <w:r>
        <w:rPr>
          <w:rFonts w:cs="David"/>
          <w:sz w:val="24"/>
          <w:szCs w:val="24"/>
        </w:rPr>
        <w:t>If the profits of the Final Four 2020 exceed 55% of the profits of the Final Four 2019, the relative share of the placement bonus to which the player is entitled shall increase</w:t>
      </w:r>
      <w:r w:rsidR="00150BBF">
        <w:rPr>
          <w:rFonts w:cs="David"/>
          <w:sz w:val="24"/>
          <w:szCs w:val="24"/>
        </w:rPr>
        <w:t xml:space="preserve"> up to the full bonuses under the original agreement, i.e. 100%. </w:t>
      </w:r>
    </w:p>
    <w:p w14:paraId="5A6F582F" w14:textId="12197A23" w:rsidR="00150BBF" w:rsidRDefault="00150BBF" w:rsidP="00150BBF">
      <w:pPr>
        <w:pStyle w:val="a3"/>
        <w:numPr>
          <w:ilvl w:val="1"/>
          <w:numId w:val="1"/>
        </w:numPr>
        <w:bidi w:val="0"/>
        <w:spacing w:line="240" w:lineRule="auto"/>
        <w:ind w:left="1219" w:hanging="357"/>
        <w:contextualSpacing w:val="0"/>
        <w:jc w:val="both"/>
        <w:rPr>
          <w:rFonts w:cs="David"/>
          <w:sz w:val="24"/>
          <w:szCs w:val="24"/>
        </w:rPr>
      </w:pPr>
      <w:r>
        <w:rPr>
          <w:rFonts w:cs="David"/>
          <w:sz w:val="24"/>
          <w:szCs w:val="24"/>
        </w:rPr>
        <w:lastRenderedPageBreak/>
        <w:t xml:space="preserve">After the Final Four 2020, the </w:t>
      </w:r>
      <w:r w:rsidR="001C14CC">
        <w:rPr>
          <w:rFonts w:cs="David"/>
          <w:sz w:val="24"/>
          <w:szCs w:val="24"/>
        </w:rPr>
        <w:t xml:space="preserve">BSL </w:t>
      </w:r>
      <w:r>
        <w:rPr>
          <w:rFonts w:cs="David"/>
          <w:sz w:val="24"/>
          <w:szCs w:val="24"/>
        </w:rPr>
        <w:t xml:space="preserve">accountant shall deliver a reviewed report signed by him, regarding the rate of profits of the Final Four 2020 relative to the profits of Final Four 2019, in order to examine the making of adjustments under Section 13A above. </w:t>
      </w:r>
    </w:p>
    <w:p w14:paraId="2E7BE059" w14:textId="15533855" w:rsidR="00150BBF" w:rsidRDefault="00150BBF" w:rsidP="00150BBF">
      <w:pPr>
        <w:pStyle w:val="a3"/>
        <w:numPr>
          <w:ilvl w:val="0"/>
          <w:numId w:val="1"/>
        </w:numPr>
        <w:bidi w:val="0"/>
        <w:spacing w:line="240" w:lineRule="auto"/>
        <w:contextualSpacing w:val="0"/>
        <w:jc w:val="both"/>
        <w:rPr>
          <w:rFonts w:cs="David"/>
          <w:sz w:val="24"/>
          <w:szCs w:val="24"/>
        </w:rPr>
      </w:pPr>
      <w:r>
        <w:rPr>
          <w:rFonts w:cs="David"/>
          <w:sz w:val="24"/>
          <w:szCs w:val="24"/>
        </w:rPr>
        <w:t xml:space="preserve">The remaining bonuses that are not placement bonuses (as defined above), shall be at a rate of 75% (seventy-five percent) of their stated amount in the original contract. For the avoidance of doubt, the bonuses for the purposes of this agreement do not include any bonus already paid (or whose eligibility for payment has already arrived) with regards to past accomplishments that preceded the date of signing of this agreement. </w:t>
      </w:r>
    </w:p>
    <w:p w14:paraId="34A4E474" w14:textId="46C89054" w:rsidR="00D05312" w:rsidRDefault="00D05312" w:rsidP="00D05312">
      <w:pPr>
        <w:pStyle w:val="a3"/>
        <w:numPr>
          <w:ilvl w:val="0"/>
          <w:numId w:val="1"/>
        </w:numPr>
        <w:bidi w:val="0"/>
        <w:spacing w:line="240" w:lineRule="auto"/>
        <w:contextualSpacing w:val="0"/>
        <w:jc w:val="both"/>
        <w:rPr>
          <w:rFonts w:cs="David"/>
          <w:sz w:val="24"/>
          <w:szCs w:val="24"/>
        </w:rPr>
      </w:pPr>
      <w:r>
        <w:rPr>
          <w:rFonts w:cs="David"/>
          <w:sz w:val="24"/>
          <w:szCs w:val="24"/>
        </w:rPr>
        <w:t xml:space="preserve">The Club undertakes to act with complete transparency regarding any aid that is received and shall deliver reports regarding receipts for aid that is received, insofar that it is received, from the Ministry of Finance and/or Sports only. </w:t>
      </w:r>
    </w:p>
    <w:p w14:paraId="422FB7F9" w14:textId="63578BDE" w:rsidR="00D05312" w:rsidRDefault="00D05312" w:rsidP="001C14CC">
      <w:pPr>
        <w:pStyle w:val="a3"/>
        <w:numPr>
          <w:ilvl w:val="0"/>
          <w:numId w:val="3"/>
        </w:numPr>
        <w:bidi w:val="0"/>
        <w:spacing w:line="240" w:lineRule="auto"/>
        <w:contextualSpacing w:val="0"/>
        <w:jc w:val="both"/>
        <w:rPr>
          <w:rFonts w:cs="David"/>
          <w:sz w:val="24"/>
          <w:szCs w:val="24"/>
        </w:rPr>
      </w:pPr>
      <w:r w:rsidRPr="00D05312">
        <w:rPr>
          <w:rFonts w:cs="David"/>
          <w:sz w:val="24"/>
          <w:szCs w:val="24"/>
          <w:u w:val="single"/>
        </w:rPr>
        <w:t>The Disciplinary Committee</w:t>
      </w:r>
      <w:r>
        <w:rPr>
          <w:rFonts w:cs="David"/>
          <w:sz w:val="24"/>
          <w:szCs w:val="24"/>
        </w:rPr>
        <w:t xml:space="preserve"> – If a player does not adhere to the clear guidelines of the Ministry of Health and the Ministry of Sports regarding the execution of professional sports activities, it shall be deemed a disciplinary infraction and the player shall face disciplinary charges under the Uniform Discipline Regulations. The team undertakes to convey to each player, prior to the beginning of practice, the aforementioned guidelines of the Ministry of Health, clearly and in writing. Attached hereto is the Guidelines Sheet. </w:t>
      </w:r>
    </w:p>
    <w:p w14:paraId="309DA5BB" w14:textId="11C99522" w:rsidR="00D05312" w:rsidRDefault="00D05312" w:rsidP="001C14CC">
      <w:pPr>
        <w:pStyle w:val="a3"/>
        <w:numPr>
          <w:ilvl w:val="0"/>
          <w:numId w:val="3"/>
        </w:numPr>
        <w:bidi w:val="0"/>
        <w:spacing w:line="240" w:lineRule="auto"/>
        <w:contextualSpacing w:val="0"/>
        <w:jc w:val="both"/>
        <w:rPr>
          <w:rFonts w:cs="David"/>
          <w:sz w:val="24"/>
          <w:szCs w:val="24"/>
        </w:rPr>
      </w:pPr>
      <w:r>
        <w:rPr>
          <w:rFonts w:cs="David"/>
          <w:sz w:val="24"/>
          <w:szCs w:val="24"/>
        </w:rPr>
        <w:t xml:space="preserve">For the avoidance of doubt, it is clarified that this agreement does not apply to individual players who reached Termination of Engagement Agreements with the Club during 2020 prior to the signing of this agreement. </w:t>
      </w:r>
    </w:p>
    <w:p w14:paraId="5D20CFB3" w14:textId="77777777" w:rsidR="006B6F55" w:rsidRPr="00CE6CC7" w:rsidRDefault="006B6F55" w:rsidP="006F6803">
      <w:pPr>
        <w:pStyle w:val="a3"/>
        <w:bidi w:val="0"/>
        <w:spacing w:line="240" w:lineRule="auto"/>
        <w:ind w:left="714"/>
        <w:jc w:val="both"/>
        <w:rPr>
          <w:rFonts w:cs="David"/>
          <w:sz w:val="24"/>
          <w:szCs w:val="24"/>
        </w:rPr>
      </w:pPr>
    </w:p>
    <w:p w14:paraId="5D8EF26A" w14:textId="74754D3D" w:rsidR="00B84AFC" w:rsidRDefault="00B84AFC" w:rsidP="00B84AFC">
      <w:pPr>
        <w:pStyle w:val="1"/>
        <w:tabs>
          <w:tab w:val="left" w:pos="720"/>
        </w:tabs>
        <w:bidi w:val="0"/>
        <w:spacing w:after="0" w:line="240" w:lineRule="auto"/>
        <w:jc w:val="center"/>
        <w:rPr>
          <w:rFonts w:cs="David"/>
          <w:b/>
          <w:bCs/>
          <w:sz w:val="24"/>
          <w:szCs w:val="24"/>
        </w:rPr>
      </w:pPr>
      <w:r>
        <w:rPr>
          <w:rFonts w:cs="David"/>
          <w:b/>
          <w:bCs/>
          <w:sz w:val="24"/>
          <w:szCs w:val="24"/>
        </w:rPr>
        <w:t>IN WITNESS WHEREOF the parties have signed:</w:t>
      </w:r>
    </w:p>
    <w:p w14:paraId="4FF6AFF0" w14:textId="77777777" w:rsidR="00B84AFC" w:rsidRDefault="00B84AFC" w:rsidP="00B84AFC">
      <w:pPr>
        <w:pStyle w:val="1"/>
        <w:tabs>
          <w:tab w:val="left" w:pos="720"/>
        </w:tabs>
        <w:bidi w:val="0"/>
        <w:spacing w:after="0" w:line="240" w:lineRule="auto"/>
        <w:jc w:val="both"/>
        <w:rPr>
          <w:rFonts w:cs="David"/>
          <w:sz w:val="24"/>
          <w:szCs w:val="24"/>
        </w:rPr>
      </w:pPr>
    </w:p>
    <w:tbl>
      <w:tblPr>
        <w:tblStyle w:val="af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560"/>
        <w:gridCol w:w="3334"/>
      </w:tblGrid>
      <w:tr w:rsidR="00B84AFC" w14:paraId="45AB9B97" w14:textId="77777777" w:rsidTr="00B84AFC">
        <w:tc>
          <w:tcPr>
            <w:tcW w:w="3402" w:type="dxa"/>
            <w:tcBorders>
              <w:top w:val="nil"/>
              <w:left w:val="nil"/>
              <w:bottom w:val="single" w:sz="4" w:space="0" w:color="auto"/>
              <w:right w:val="nil"/>
            </w:tcBorders>
          </w:tcPr>
          <w:p w14:paraId="45C86573" w14:textId="77777777" w:rsidR="00B84AFC" w:rsidRDefault="00B84AFC">
            <w:pPr>
              <w:pStyle w:val="1"/>
              <w:tabs>
                <w:tab w:val="left" w:pos="720"/>
              </w:tabs>
              <w:bidi w:val="0"/>
              <w:spacing w:after="0" w:line="240" w:lineRule="auto"/>
              <w:jc w:val="both"/>
              <w:rPr>
                <w:rFonts w:cs="David"/>
                <w:sz w:val="24"/>
                <w:szCs w:val="24"/>
              </w:rPr>
            </w:pPr>
          </w:p>
        </w:tc>
        <w:tc>
          <w:tcPr>
            <w:tcW w:w="1560" w:type="dxa"/>
          </w:tcPr>
          <w:p w14:paraId="33E8CFC2" w14:textId="77777777" w:rsidR="00B84AFC" w:rsidRDefault="00B84AFC">
            <w:pPr>
              <w:pStyle w:val="1"/>
              <w:tabs>
                <w:tab w:val="left" w:pos="720"/>
              </w:tabs>
              <w:bidi w:val="0"/>
              <w:spacing w:after="0" w:line="240" w:lineRule="auto"/>
              <w:jc w:val="both"/>
              <w:rPr>
                <w:rFonts w:cs="David"/>
                <w:sz w:val="24"/>
                <w:szCs w:val="24"/>
              </w:rPr>
            </w:pPr>
          </w:p>
        </w:tc>
        <w:tc>
          <w:tcPr>
            <w:tcW w:w="3334" w:type="dxa"/>
            <w:tcBorders>
              <w:top w:val="nil"/>
              <w:left w:val="nil"/>
              <w:bottom w:val="single" w:sz="4" w:space="0" w:color="auto"/>
              <w:right w:val="nil"/>
            </w:tcBorders>
          </w:tcPr>
          <w:p w14:paraId="05771D4C" w14:textId="77777777" w:rsidR="00B84AFC" w:rsidRDefault="00B84AFC">
            <w:pPr>
              <w:pStyle w:val="1"/>
              <w:tabs>
                <w:tab w:val="left" w:pos="720"/>
              </w:tabs>
              <w:bidi w:val="0"/>
              <w:spacing w:after="0" w:line="240" w:lineRule="auto"/>
              <w:jc w:val="both"/>
              <w:rPr>
                <w:rFonts w:cs="David"/>
                <w:sz w:val="24"/>
                <w:szCs w:val="24"/>
              </w:rPr>
            </w:pPr>
          </w:p>
        </w:tc>
      </w:tr>
      <w:tr w:rsidR="00B84AFC" w14:paraId="1EE86085" w14:textId="77777777" w:rsidTr="00B84AFC">
        <w:trPr>
          <w:trHeight w:val="244"/>
        </w:trPr>
        <w:tc>
          <w:tcPr>
            <w:tcW w:w="3402" w:type="dxa"/>
            <w:tcBorders>
              <w:top w:val="single" w:sz="4" w:space="0" w:color="auto"/>
              <w:left w:val="nil"/>
              <w:bottom w:val="nil"/>
              <w:right w:val="nil"/>
            </w:tcBorders>
            <w:hideMark/>
          </w:tcPr>
          <w:p w14:paraId="637CC56C" w14:textId="6D1F2C61" w:rsidR="00B84AFC" w:rsidRDefault="00B84AFC">
            <w:pPr>
              <w:pStyle w:val="1"/>
              <w:tabs>
                <w:tab w:val="left" w:pos="720"/>
              </w:tabs>
              <w:bidi w:val="0"/>
              <w:spacing w:after="0" w:line="240" w:lineRule="auto"/>
              <w:jc w:val="center"/>
              <w:rPr>
                <w:rFonts w:cs="David"/>
                <w:sz w:val="24"/>
                <w:szCs w:val="24"/>
              </w:rPr>
            </w:pPr>
            <w:r>
              <w:rPr>
                <w:rFonts w:cs="David"/>
                <w:b/>
                <w:bCs/>
                <w:sz w:val="24"/>
                <w:szCs w:val="24"/>
              </w:rPr>
              <w:t>The Club</w:t>
            </w:r>
          </w:p>
        </w:tc>
        <w:tc>
          <w:tcPr>
            <w:tcW w:w="1560" w:type="dxa"/>
          </w:tcPr>
          <w:p w14:paraId="44AEAAB5" w14:textId="77777777" w:rsidR="00B84AFC" w:rsidRDefault="00B84AFC">
            <w:pPr>
              <w:pStyle w:val="1"/>
              <w:tabs>
                <w:tab w:val="left" w:pos="720"/>
              </w:tabs>
              <w:bidi w:val="0"/>
              <w:spacing w:after="0" w:line="240" w:lineRule="auto"/>
              <w:jc w:val="both"/>
              <w:rPr>
                <w:rFonts w:cs="David"/>
                <w:sz w:val="24"/>
                <w:szCs w:val="24"/>
              </w:rPr>
            </w:pPr>
          </w:p>
        </w:tc>
        <w:tc>
          <w:tcPr>
            <w:tcW w:w="3334" w:type="dxa"/>
            <w:tcBorders>
              <w:top w:val="single" w:sz="4" w:space="0" w:color="auto"/>
              <w:left w:val="nil"/>
              <w:bottom w:val="nil"/>
              <w:right w:val="nil"/>
            </w:tcBorders>
            <w:hideMark/>
          </w:tcPr>
          <w:p w14:paraId="7BD7BFDC" w14:textId="604CE7E0" w:rsidR="00B84AFC" w:rsidRDefault="00B84AFC">
            <w:pPr>
              <w:pStyle w:val="1"/>
              <w:tabs>
                <w:tab w:val="left" w:pos="720"/>
              </w:tabs>
              <w:bidi w:val="0"/>
              <w:spacing w:after="0" w:line="240" w:lineRule="auto"/>
              <w:jc w:val="center"/>
              <w:rPr>
                <w:rFonts w:cs="David"/>
                <w:sz w:val="24"/>
                <w:szCs w:val="24"/>
              </w:rPr>
            </w:pPr>
            <w:r>
              <w:rPr>
                <w:rFonts w:cs="David"/>
                <w:b/>
                <w:bCs/>
                <w:sz w:val="24"/>
                <w:szCs w:val="24"/>
              </w:rPr>
              <w:t>The Players' Representation</w:t>
            </w:r>
          </w:p>
        </w:tc>
      </w:tr>
    </w:tbl>
    <w:p w14:paraId="53CBA30F" w14:textId="77777777" w:rsidR="00B84AFC" w:rsidRDefault="00B84AFC" w:rsidP="00B84AFC">
      <w:pPr>
        <w:pStyle w:val="1"/>
        <w:tabs>
          <w:tab w:val="left" w:pos="720"/>
        </w:tabs>
        <w:bidi w:val="0"/>
        <w:spacing w:after="0" w:line="240" w:lineRule="auto"/>
        <w:jc w:val="both"/>
        <w:rPr>
          <w:rFonts w:cs="David"/>
          <w:sz w:val="24"/>
          <w:szCs w:val="24"/>
        </w:rPr>
      </w:pPr>
    </w:p>
    <w:p w14:paraId="5B067FF7" w14:textId="77777777" w:rsidR="00A548C1" w:rsidRDefault="00A548C1" w:rsidP="00B84AFC">
      <w:pPr>
        <w:bidi w:val="0"/>
        <w:spacing w:after="0" w:line="240" w:lineRule="auto"/>
        <w:ind w:left="357"/>
        <w:jc w:val="both"/>
        <w:rPr>
          <w:rFonts w:cs="David"/>
          <w:sz w:val="24"/>
          <w:szCs w:val="24"/>
          <w:u w:val="single"/>
        </w:rPr>
      </w:pPr>
    </w:p>
    <w:p w14:paraId="7F0EAA7C" w14:textId="27C86442" w:rsidR="007C63CC" w:rsidRDefault="008C199A" w:rsidP="00EA70C9">
      <w:pPr>
        <w:pStyle w:val="a3"/>
        <w:bidi w:val="0"/>
        <w:spacing w:line="240" w:lineRule="auto"/>
        <w:ind w:left="357"/>
        <w:jc w:val="both"/>
        <w:rPr>
          <w:rFonts w:cs="David"/>
          <w:sz w:val="24"/>
          <w:szCs w:val="24"/>
          <w:u w:val="single"/>
        </w:rPr>
      </w:pPr>
      <w:r>
        <w:rPr>
          <w:rFonts w:cs="David"/>
          <w:sz w:val="24"/>
          <w:szCs w:val="24"/>
          <w:u w:val="single"/>
        </w:rPr>
        <w:t>Illustration e</w:t>
      </w:r>
      <w:r w:rsidR="007C63CC">
        <w:rPr>
          <w:rFonts w:cs="David"/>
          <w:sz w:val="24"/>
          <w:szCs w:val="24"/>
          <w:u w:val="single"/>
        </w:rPr>
        <w:t>xample, pursuant to Section 11 of the Agreement</w:t>
      </w:r>
      <w:r w:rsidR="007C63CC" w:rsidRPr="007C63CC">
        <w:rPr>
          <w:rFonts w:cs="David"/>
          <w:sz w:val="24"/>
          <w:szCs w:val="24"/>
        </w:rPr>
        <w:t>:</w:t>
      </w:r>
    </w:p>
    <w:p w14:paraId="682FC141" w14:textId="06569909" w:rsidR="00935999" w:rsidRDefault="00935999" w:rsidP="00EA70C9">
      <w:pPr>
        <w:pStyle w:val="a3"/>
        <w:bidi w:val="0"/>
        <w:spacing w:line="240" w:lineRule="auto"/>
        <w:ind w:left="357"/>
        <w:jc w:val="both"/>
        <w:rPr>
          <w:rFonts w:cs="David"/>
          <w:sz w:val="24"/>
          <w:szCs w:val="24"/>
        </w:rPr>
      </w:pPr>
    </w:p>
    <w:p w14:paraId="5F7B60FA" w14:textId="0AEA7BEF" w:rsidR="00A548C1" w:rsidRDefault="007C63CC" w:rsidP="00EA70C9">
      <w:pPr>
        <w:pStyle w:val="a3"/>
        <w:bidi w:val="0"/>
        <w:spacing w:line="240" w:lineRule="auto"/>
        <w:ind w:left="357"/>
        <w:jc w:val="both"/>
        <w:rPr>
          <w:rFonts w:cs="David"/>
          <w:sz w:val="24"/>
          <w:szCs w:val="24"/>
        </w:rPr>
      </w:pPr>
      <w:r>
        <w:rPr>
          <w:rFonts w:cs="David"/>
          <w:sz w:val="24"/>
          <w:szCs w:val="24"/>
        </w:rPr>
        <w:t>Insofar as a given player, who was injured prior to the unpaid leave period and for the unpaid leave period, is entitled to injury pay at a rate of NIS 30,000 (NIS 45,000 for the unpaid leave period whose duration was a month and a half);</w:t>
      </w:r>
    </w:p>
    <w:p w14:paraId="60A148CD" w14:textId="2672DD88" w:rsidR="008C199A" w:rsidRDefault="008C199A" w:rsidP="008C199A">
      <w:pPr>
        <w:pStyle w:val="a3"/>
        <w:bidi w:val="0"/>
        <w:spacing w:line="240" w:lineRule="auto"/>
        <w:ind w:left="357"/>
        <w:jc w:val="both"/>
        <w:rPr>
          <w:rFonts w:cs="David"/>
          <w:sz w:val="24"/>
          <w:szCs w:val="24"/>
        </w:rPr>
      </w:pPr>
    </w:p>
    <w:p w14:paraId="377DF175" w14:textId="4DBAED1A" w:rsidR="007C63CC" w:rsidRDefault="007C63CC" w:rsidP="00EA70C9">
      <w:pPr>
        <w:pStyle w:val="a3"/>
        <w:bidi w:val="0"/>
        <w:spacing w:line="240" w:lineRule="auto"/>
        <w:ind w:left="357"/>
        <w:jc w:val="both"/>
        <w:rPr>
          <w:rFonts w:cs="David"/>
          <w:sz w:val="24"/>
          <w:szCs w:val="24"/>
        </w:rPr>
      </w:pPr>
      <w:r>
        <w:rPr>
          <w:rFonts w:cs="David"/>
          <w:sz w:val="24"/>
          <w:szCs w:val="24"/>
        </w:rPr>
        <w:t xml:space="preserve">And insofar as that same given </w:t>
      </w:r>
      <w:r w:rsidR="008C199A">
        <w:rPr>
          <w:rFonts w:cs="David"/>
          <w:sz w:val="24"/>
          <w:szCs w:val="24"/>
        </w:rPr>
        <w:t>player</w:t>
      </w:r>
      <w:r>
        <w:rPr>
          <w:rFonts w:cs="David"/>
          <w:sz w:val="24"/>
          <w:szCs w:val="24"/>
        </w:rPr>
        <w:t xml:space="preserve">, </w:t>
      </w:r>
      <w:r>
        <w:rPr>
          <w:rFonts w:cs="David"/>
          <w:sz w:val="24"/>
          <w:szCs w:val="24"/>
          <w:u w:val="single"/>
        </w:rPr>
        <w:t>had he not been injured</w:t>
      </w:r>
      <w:r>
        <w:rPr>
          <w:rFonts w:cs="David"/>
          <w:sz w:val="24"/>
          <w:szCs w:val="24"/>
        </w:rPr>
        <w:t xml:space="preserve"> as stated, was entitled to unemployment benefits for the unpaid leave period at a rate of NIS 10,000 per month (NIS 15,000 in total for the entire unpaid leave period whose duration was a month and a half);</w:t>
      </w:r>
    </w:p>
    <w:p w14:paraId="18D2BF82" w14:textId="1B965B27" w:rsidR="007C63CC" w:rsidRDefault="007C63CC" w:rsidP="00EA70C9">
      <w:pPr>
        <w:bidi w:val="0"/>
        <w:spacing w:line="240" w:lineRule="auto"/>
        <w:ind w:left="357"/>
        <w:jc w:val="both"/>
        <w:rPr>
          <w:rFonts w:cs="David"/>
          <w:sz w:val="24"/>
          <w:szCs w:val="24"/>
        </w:rPr>
      </w:pPr>
    </w:p>
    <w:p w14:paraId="6E322910" w14:textId="42C83495" w:rsidR="00A548C1" w:rsidRDefault="007C63CC" w:rsidP="00EA70C9">
      <w:pPr>
        <w:bidi w:val="0"/>
        <w:spacing w:line="240" w:lineRule="auto"/>
        <w:ind w:left="357"/>
        <w:jc w:val="both"/>
        <w:rPr>
          <w:rFonts w:cs="David"/>
          <w:sz w:val="24"/>
          <w:szCs w:val="24"/>
        </w:rPr>
      </w:pPr>
      <w:r>
        <w:rPr>
          <w:rFonts w:cs="David"/>
          <w:sz w:val="24"/>
          <w:szCs w:val="24"/>
        </w:rPr>
        <w:lastRenderedPageBreak/>
        <w:t xml:space="preserve">Then any injury pay shall be included as part of the adjusted salary, </w:t>
      </w:r>
      <w:r>
        <w:rPr>
          <w:rFonts w:cs="David"/>
          <w:sz w:val="24"/>
          <w:szCs w:val="24"/>
          <w:u w:val="single"/>
        </w:rPr>
        <w:t>excluding the amount of NIS 15,000 that was due to the player as unemployment benefits during the unpaid leave period, had he not been injured</w:t>
      </w:r>
      <w:r w:rsidRPr="007C63CC">
        <w:rPr>
          <w:rFonts w:cs="David"/>
          <w:sz w:val="24"/>
          <w:szCs w:val="24"/>
        </w:rPr>
        <w:t>.</w:t>
      </w:r>
      <w:r w:rsidR="005C0624">
        <w:rPr>
          <w:rFonts w:cs="David"/>
          <w:sz w:val="24"/>
          <w:szCs w:val="24"/>
        </w:rPr>
        <w:t xml:space="preserve"> </w:t>
      </w:r>
    </w:p>
    <w:p w14:paraId="159606E2" w14:textId="77777777" w:rsidR="005C0624" w:rsidRPr="005C0624" w:rsidRDefault="005C0624" w:rsidP="00EA70C9">
      <w:pPr>
        <w:bidi w:val="0"/>
        <w:spacing w:line="240" w:lineRule="auto"/>
        <w:ind w:left="357"/>
        <w:jc w:val="both"/>
        <w:rPr>
          <w:rFonts w:cs="David"/>
          <w:sz w:val="24"/>
          <w:szCs w:val="24"/>
        </w:rPr>
      </w:pPr>
    </w:p>
    <w:sectPr w:rsidR="005C0624" w:rsidRPr="005C0624" w:rsidSect="0088170E">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D5C37" w14:textId="77777777" w:rsidR="008B0E92" w:rsidRDefault="008B0E92" w:rsidP="00D6030D">
      <w:pPr>
        <w:spacing w:after="0" w:line="240" w:lineRule="auto"/>
      </w:pPr>
      <w:r>
        <w:separator/>
      </w:r>
    </w:p>
  </w:endnote>
  <w:endnote w:type="continuationSeparator" w:id="0">
    <w:p w14:paraId="39BA8C16" w14:textId="77777777" w:rsidR="008B0E92" w:rsidRDefault="008B0E92" w:rsidP="00D60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E19CB" w14:textId="77777777" w:rsidR="008B0E92" w:rsidRDefault="008B0E92" w:rsidP="00D6030D">
      <w:pPr>
        <w:spacing w:after="0" w:line="240" w:lineRule="auto"/>
      </w:pPr>
      <w:r>
        <w:separator/>
      </w:r>
    </w:p>
  </w:footnote>
  <w:footnote w:type="continuationSeparator" w:id="0">
    <w:p w14:paraId="4C5A5F88" w14:textId="77777777" w:rsidR="008B0E92" w:rsidRDefault="008B0E92" w:rsidP="00D60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86247621"/>
      <w:docPartObj>
        <w:docPartGallery w:val="Page Numbers (Margins)"/>
        <w:docPartUnique/>
      </w:docPartObj>
    </w:sdtPr>
    <w:sdtEndPr/>
    <w:sdtContent>
      <w:p w14:paraId="7320CEA4" w14:textId="77777777" w:rsidR="00D6030D" w:rsidRDefault="009F4405">
        <w:pPr>
          <w:pStyle w:val="a4"/>
        </w:pPr>
        <w:r>
          <w:rPr>
            <w:noProof/>
          </w:rPr>
          <mc:AlternateContent>
            <mc:Choice Requires="wps">
              <w:drawing>
                <wp:anchor distT="0" distB="0" distL="114300" distR="114300" simplePos="0" relativeHeight="251659264" behindDoc="0" locked="0" layoutInCell="0" allowOverlap="1" wp14:anchorId="47664B1A" wp14:editId="3A5BF358">
                  <wp:simplePos x="0" y="0"/>
                  <wp:positionH relativeFrom="leftMargin">
                    <wp:align>left</wp:align>
                  </wp:positionH>
                  <wp:positionV relativeFrom="margin">
                    <wp:align>center</wp:align>
                  </wp:positionV>
                  <wp:extent cx="914400" cy="329565"/>
                  <wp:effectExtent l="0" t="0" r="0" b="0"/>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0" cy="329565"/>
                          </a:xfrm>
                          <a:prstGeom prst="rect">
                            <a:avLst/>
                          </a:prstGeom>
                          <a:solidFill>
                            <a:srgbClr val="FFFFFF"/>
                          </a:solidFill>
                          <a:ln>
                            <a:noFill/>
                          </a:ln>
                        </wps:spPr>
                        <wps:txbx>
                          <w:txbxContent>
                            <w:p w14:paraId="74935B12" w14:textId="77777777" w:rsidR="00D6030D" w:rsidRDefault="00130DDD">
                              <w:pPr>
                                <w:pBdr>
                                  <w:bottom w:val="single" w:sz="4" w:space="1" w:color="auto"/>
                                </w:pBdr>
                              </w:pPr>
                              <w:r>
                                <w:fldChar w:fldCharType="begin"/>
                              </w:r>
                              <w:r w:rsidR="00D6030D">
                                <w:instrText>PAGE   \* MERGEFORMAT</w:instrText>
                              </w:r>
                              <w:r>
                                <w:fldChar w:fldCharType="separate"/>
                              </w:r>
                              <w:r w:rsidR="00CE444D" w:rsidRPr="00CE444D">
                                <w:rPr>
                                  <w:noProof/>
                                  <w:rtl/>
                                  <w:lang w:val="he-IL"/>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xmlns:w16="http://schemas.microsoft.com/office/word/2018/wordml" xmlns:w16cex="http://schemas.microsoft.com/office/word/2018/wordml/cex">
              <w:pict>
                <v:rect w14:anchorId="47664B1A" id="מלבן 1" o:spid="_x0000_s1026" style="position:absolute;left:0;text-align:left;margin-left:0;margin-top:0;width:1in;height:25.95pt;flip:x;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" o:allowincell="f" stroked="f">
                  <v:textbox>
                    <w:txbxContent>
                      <w:p w14:paraId="74935B12" w14:textId="77777777" w:rsidR="00D6030D" w:rsidRDefault="00130DDD">
                        <w:pPr>
                          <w:pBdr>
                            <w:bottom w:val="single" w:sz="4" w:space="1" w:color="auto"/>
                          </w:pBdr>
                        </w:pPr>
                        <w:r>
                          <w:fldChar w:fldCharType="begin"/>
                        </w:r>
                        <w:r w:rsidR="00D6030D">
                          <w:instrText>PAGE   \* MERGEFORMAT</w:instrText>
                        </w:r>
                        <w:r>
                          <w:fldChar w:fldCharType="separate"/>
                        </w:r>
                        <w:r w:rsidR="00CE444D" w:rsidRPr="00CE444D">
                          <w:rPr>
                            <w:noProof/>
                            <w:rtl/>
                            <w:lang w:val="he-IL"/>
                          </w:rPr>
                          <w:t>4</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15294"/>
    <w:multiLevelType w:val="hybridMultilevel"/>
    <w:tmpl w:val="EC52927E"/>
    <w:lvl w:ilvl="0" w:tplc="0409000F">
      <w:start w:val="1"/>
      <w:numFmt w:val="decimal"/>
      <w:lvlText w:val="%1."/>
      <w:lvlJc w:val="left"/>
      <w:pPr>
        <w:ind w:left="502" w:hanging="360"/>
      </w:pPr>
    </w:lvl>
    <w:lvl w:ilvl="1" w:tplc="04090015">
      <w:start w:val="1"/>
      <w:numFmt w:val="upp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3FC531CD"/>
    <w:multiLevelType w:val="hybridMultilevel"/>
    <w:tmpl w:val="7B7E1C08"/>
    <w:lvl w:ilvl="0" w:tplc="54A4AF6E">
      <w:numFmt w:val="bullet"/>
      <w:lvlText w:val=""/>
      <w:lvlJc w:val="left"/>
      <w:pPr>
        <w:ind w:left="717" w:hanging="360"/>
      </w:pPr>
      <w:rPr>
        <w:rFonts w:ascii="Symbol" w:eastAsiaTheme="minorHAnsi" w:hAnsi="Symbol" w:cstheme="minorBidi"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 w15:restartNumberingAfterBreak="0">
    <w:nsid w:val="6D051BD2"/>
    <w:multiLevelType w:val="hybridMultilevel"/>
    <w:tmpl w:val="EC52927E"/>
    <w:lvl w:ilvl="0" w:tplc="0409000F">
      <w:start w:val="1"/>
      <w:numFmt w:val="decimal"/>
      <w:lvlText w:val="%1."/>
      <w:lvlJc w:val="left"/>
      <w:pPr>
        <w:ind w:left="502" w:hanging="360"/>
      </w:pPr>
    </w:lvl>
    <w:lvl w:ilvl="1" w:tplc="04090015">
      <w:start w:val="1"/>
      <w:numFmt w:val="upp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F53"/>
    <w:rsid w:val="00000A76"/>
    <w:rsid w:val="000037EA"/>
    <w:rsid w:val="000072FC"/>
    <w:rsid w:val="00063BD3"/>
    <w:rsid w:val="00070AF9"/>
    <w:rsid w:val="000824C9"/>
    <w:rsid w:val="000D1DE5"/>
    <w:rsid w:val="001139F7"/>
    <w:rsid w:val="00115A26"/>
    <w:rsid w:val="00130DDD"/>
    <w:rsid w:val="00144B07"/>
    <w:rsid w:val="00150BBF"/>
    <w:rsid w:val="00157D4B"/>
    <w:rsid w:val="001737BF"/>
    <w:rsid w:val="001870D5"/>
    <w:rsid w:val="00196E8D"/>
    <w:rsid w:val="001B27AB"/>
    <w:rsid w:val="001C14CC"/>
    <w:rsid w:val="001E02A1"/>
    <w:rsid w:val="002013C2"/>
    <w:rsid w:val="002335C3"/>
    <w:rsid w:val="0024514C"/>
    <w:rsid w:val="002568C7"/>
    <w:rsid w:val="00261ED6"/>
    <w:rsid w:val="00295E67"/>
    <w:rsid w:val="002A6523"/>
    <w:rsid w:val="002E5DAF"/>
    <w:rsid w:val="003058AE"/>
    <w:rsid w:val="00314FD3"/>
    <w:rsid w:val="00315EF9"/>
    <w:rsid w:val="003410C0"/>
    <w:rsid w:val="003436C3"/>
    <w:rsid w:val="00375056"/>
    <w:rsid w:val="00392C14"/>
    <w:rsid w:val="0044447D"/>
    <w:rsid w:val="0044649F"/>
    <w:rsid w:val="00447F81"/>
    <w:rsid w:val="004B138C"/>
    <w:rsid w:val="004B351E"/>
    <w:rsid w:val="004D79DA"/>
    <w:rsid w:val="004E4CCB"/>
    <w:rsid w:val="00501B6A"/>
    <w:rsid w:val="005113D9"/>
    <w:rsid w:val="00513143"/>
    <w:rsid w:val="00514FC3"/>
    <w:rsid w:val="005457E4"/>
    <w:rsid w:val="005522DF"/>
    <w:rsid w:val="005C0624"/>
    <w:rsid w:val="005C4D75"/>
    <w:rsid w:val="00623ABE"/>
    <w:rsid w:val="00625421"/>
    <w:rsid w:val="0064146F"/>
    <w:rsid w:val="006543F1"/>
    <w:rsid w:val="006712F0"/>
    <w:rsid w:val="006821B0"/>
    <w:rsid w:val="006A6F88"/>
    <w:rsid w:val="006B6F55"/>
    <w:rsid w:val="006C5B4E"/>
    <w:rsid w:val="006D5A38"/>
    <w:rsid w:val="006F6803"/>
    <w:rsid w:val="006F780C"/>
    <w:rsid w:val="006F792F"/>
    <w:rsid w:val="00754773"/>
    <w:rsid w:val="00767EA1"/>
    <w:rsid w:val="00786AC2"/>
    <w:rsid w:val="007A3997"/>
    <w:rsid w:val="007B34F7"/>
    <w:rsid w:val="007C0850"/>
    <w:rsid w:val="007C63CC"/>
    <w:rsid w:val="0083761A"/>
    <w:rsid w:val="008705C5"/>
    <w:rsid w:val="0088170E"/>
    <w:rsid w:val="00891EFB"/>
    <w:rsid w:val="008A1206"/>
    <w:rsid w:val="008B0E92"/>
    <w:rsid w:val="008C199A"/>
    <w:rsid w:val="008D295E"/>
    <w:rsid w:val="008F407C"/>
    <w:rsid w:val="00900103"/>
    <w:rsid w:val="009078D7"/>
    <w:rsid w:val="00935999"/>
    <w:rsid w:val="00956117"/>
    <w:rsid w:val="009913E7"/>
    <w:rsid w:val="009B2862"/>
    <w:rsid w:val="009C47C6"/>
    <w:rsid w:val="009F4405"/>
    <w:rsid w:val="009F4AB8"/>
    <w:rsid w:val="00A23F12"/>
    <w:rsid w:val="00A409FF"/>
    <w:rsid w:val="00A548C1"/>
    <w:rsid w:val="00A56DA3"/>
    <w:rsid w:val="00A756E2"/>
    <w:rsid w:val="00A91C95"/>
    <w:rsid w:val="00AD7A08"/>
    <w:rsid w:val="00B0047D"/>
    <w:rsid w:val="00B20E2A"/>
    <w:rsid w:val="00B41D93"/>
    <w:rsid w:val="00B66AB6"/>
    <w:rsid w:val="00B84AFC"/>
    <w:rsid w:val="00B9182B"/>
    <w:rsid w:val="00BA008B"/>
    <w:rsid w:val="00BA690F"/>
    <w:rsid w:val="00BB1FED"/>
    <w:rsid w:val="00BC32D9"/>
    <w:rsid w:val="00BD0417"/>
    <w:rsid w:val="00BD4C4E"/>
    <w:rsid w:val="00BF4690"/>
    <w:rsid w:val="00C00F8F"/>
    <w:rsid w:val="00C8607F"/>
    <w:rsid w:val="00CA116E"/>
    <w:rsid w:val="00CC00C9"/>
    <w:rsid w:val="00CD23D4"/>
    <w:rsid w:val="00CE444D"/>
    <w:rsid w:val="00CE6CC7"/>
    <w:rsid w:val="00D05312"/>
    <w:rsid w:val="00D44C1A"/>
    <w:rsid w:val="00D6030D"/>
    <w:rsid w:val="00D97D27"/>
    <w:rsid w:val="00DC4C03"/>
    <w:rsid w:val="00DC6A89"/>
    <w:rsid w:val="00DD325F"/>
    <w:rsid w:val="00DD64E6"/>
    <w:rsid w:val="00DE230A"/>
    <w:rsid w:val="00DE4F53"/>
    <w:rsid w:val="00E05964"/>
    <w:rsid w:val="00E23963"/>
    <w:rsid w:val="00E31606"/>
    <w:rsid w:val="00E4166A"/>
    <w:rsid w:val="00E44407"/>
    <w:rsid w:val="00E46EE4"/>
    <w:rsid w:val="00EA70C9"/>
    <w:rsid w:val="00EC3FF8"/>
    <w:rsid w:val="00EC7E0B"/>
    <w:rsid w:val="00F13CDC"/>
    <w:rsid w:val="00F365D5"/>
    <w:rsid w:val="00F535EA"/>
    <w:rsid w:val="00F87920"/>
    <w:rsid w:val="00F913DE"/>
    <w:rsid w:val="00FB5F7E"/>
    <w:rsid w:val="00FE2DAC"/>
    <w:rsid w:val="00FF65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63C49"/>
  <w15:docId w15:val="{BC7F965F-266C-4C82-A52F-A819879D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78D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F53"/>
    <w:pPr>
      <w:ind w:left="720"/>
      <w:contextualSpacing/>
    </w:pPr>
  </w:style>
  <w:style w:type="paragraph" w:styleId="a4">
    <w:name w:val="header"/>
    <w:basedOn w:val="a"/>
    <w:link w:val="a5"/>
    <w:uiPriority w:val="99"/>
    <w:unhideWhenUsed/>
    <w:rsid w:val="00D6030D"/>
    <w:pPr>
      <w:tabs>
        <w:tab w:val="center" w:pos="4153"/>
        <w:tab w:val="right" w:pos="8306"/>
      </w:tabs>
      <w:spacing w:after="0" w:line="240" w:lineRule="auto"/>
    </w:pPr>
  </w:style>
  <w:style w:type="character" w:customStyle="1" w:styleId="a5">
    <w:name w:val="כותרת עליונה תו"/>
    <w:basedOn w:val="a0"/>
    <w:link w:val="a4"/>
    <w:uiPriority w:val="99"/>
    <w:rsid w:val="00D6030D"/>
  </w:style>
  <w:style w:type="paragraph" w:styleId="a6">
    <w:name w:val="footer"/>
    <w:basedOn w:val="a"/>
    <w:link w:val="a7"/>
    <w:uiPriority w:val="99"/>
    <w:unhideWhenUsed/>
    <w:rsid w:val="00D6030D"/>
    <w:pPr>
      <w:tabs>
        <w:tab w:val="center" w:pos="4153"/>
        <w:tab w:val="right" w:pos="8306"/>
      </w:tabs>
      <w:spacing w:after="0" w:line="240" w:lineRule="auto"/>
    </w:pPr>
  </w:style>
  <w:style w:type="character" w:customStyle="1" w:styleId="a7">
    <w:name w:val="כותרת תחתונה תו"/>
    <w:basedOn w:val="a0"/>
    <w:link w:val="a6"/>
    <w:uiPriority w:val="99"/>
    <w:rsid w:val="00D6030D"/>
  </w:style>
  <w:style w:type="paragraph" w:styleId="a8">
    <w:name w:val="Balloon Text"/>
    <w:basedOn w:val="a"/>
    <w:link w:val="a9"/>
    <w:uiPriority w:val="99"/>
    <w:semiHidden/>
    <w:unhideWhenUsed/>
    <w:rsid w:val="00A409FF"/>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A409FF"/>
    <w:rPr>
      <w:rFonts w:ascii="Tahoma" w:hAnsi="Tahoma" w:cs="Tahoma"/>
      <w:sz w:val="18"/>
      <w:szCs w:val="18"/>
    </w:rPr>
  </w:style>
  <w:style w:type="character" w:styleId="aa">
    <w:name w:val="annotation reference"/>
    <w:basedOn w:val="a0"/>
    <w:uiPriority w:val="99"/>
    <w:semiHidden/>
    <w:unhideWhenUsed/>
    <w:rsid w:val="00CE6CC7"/>
    <w:rPr>
      <w:sz w:val="16"/>
      <w:szCs w:val="16"/>
    </w:rPr>
  </w:style>
  <w:style w:type="paragraph" w:styleId="ab">
    <w:name w:val="annotation text"/>
    <w:basedOn w:val="a"/>
    <w:link w:val="ac"/>
    <w:uiPriority w:val="99"/>
    <w:unhideWhenUsed/>
    <w:rsid w:val="00CE6CC7"/>
    <w:pPr>
      <w:spacing w:line="240" w:lineRule="auto"/>
    </w:pPr>
    <w:rPr>
      <w:sz w:val="20"/>
      <w:szCs w:val="20"/>
    </w:rPr>
  </w:style>
  <w:style w:type="character" w:customStyle="1" w:styleId="ac">
    <w:name w:val="טקסט הערה תו"/>
    <w:basedOn w:val="a0"/>
    <w:link w:val="ab"/>
    <w:uiPriority w:val="99"/>
    <w:rsid w:val="00CE6CC7"/>
    <w:rPr>
      <w:sz w:val="20"/>
      <w:szCs w:val="20"/>
    </w:rPr>
  </w:style>
  <w:style w:type="paragraph" w:styleId="ad">
    <w:name w:val="annotation subject"/>
    <w:basedOn w:val="ab"/>
    <w:next w:val="ab"/>
    <w:link w:val="ae"/>
    <w:uiPriority w:val="99"/>
    <w:semiHidden/>
    <w:unhideWhenUsed/>
    <w:rsid w:val="00CE6CC7"/>
    <w:rPr>
      <w:b/>
      <w:bCs/>
    </w:rPr>
  </w:style>
  <w:style w:type="character" w:customStyle="1" w:styleId="ae">
    <w:name w:val="נושא הערה תו"/>
    <w:basedOn w:val="ac"/>
    <w:link w:val="ad"/>
    <w:uiPriority w:val="99"/>
    <w:semiHidden/>
    <w:rsid w:val="00CE6CC7"/>
    <w:rPr>
      <w:b/>
      <w:bCs/>
      <w:sz w:val="20"/>
      <w:szCs w:val="20"/>
    </w:rPr>
  </w:style>
  <w:style w:type="paragraph" w:styleId="af">
    <w:name w:val="Revision"/>
    <w:hidden/>
    <w:uiPriority w:val="99"/>
    <w:semiHidden/>
    <w:rsid w:val="00B41D93"/>
    <w:pPr>
      <w:spacing w:after="0" w:line="240" w:lineRule="auto"/>
    </w:pPr>
  </w:style>
  <w:style w:type="paragraph" w:customStyle="1" w:styleId="1">
    <w:name w:val="רגיל1"/>
    <w:rsid w:val="006543F1"/>
    <w:pPr>
      <w:bidi/>
      <w:spacing w:after="200" w:line="276" w:lineRule="auto"/>
    </w:pPr>
    <w:rPr>
      <w:rFonts w:ascii="Calibri" w:eastAsia="Calibri" w:hAnsi="Calibri" w:cs="Calibri"/>
      <w:color w:val="000000"/>
    </w:rPr>
  </w:style>
  <w:style w:type="table" w:styleId="af0">
    <w:name w:val="Table Grid"/>
    <w:basedOn w:val="a1"/>
    <w:uiPriority w:val="59"/>
    <w:rsid w:val="00B84AFC"/>
    <w:pPr>
      <w:spacing w:after="0" w:line="240" w:lineRule="auto"/>
      <w:jc w:val="right"/>
    </w:pPr>
    <w:rPr>
      <w:rFonts w:ascii="Calibri" w:eastAsia="Calibri" w:hAnsi="Calibri" w:cs="Calibri"/>
      <w:color w:val="00000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492042">
      <w:bodyDiv w:val="1"/>
      <w:marLeft w:val="0"/>
      <w:marRight w:val="0"/>
      <w:marTop w:val="0"/>
      <w:marBottom w:val="0"/>
      <w:divBdr>
        <w:top w:val="none" w:sz="0" w:space="0" w:color="auto"/>
        <w:left w:val="none" w:sz="0" w:space="0" w:color="auto"/>
        <w:bottom w:val="none" w:sz="0" w:space="0" w:color="auto"/>
        <w:right w:val="none" w:sz="0" w:space="0" w:color="auto"/>
      </w:divBdr>
    </w:div>
    <w:div w:id="1339045300">
      <w:bodyDiv w:val="1"/>
      <w:marLeft w:val="0"/>
      <w:marRight w:val="0"/>
      <w:marTop w:val="0"/>
      <w:marBottom w:val="0"/>
      <w:divBdr>
        <w:top w:val="none" w:sz="0" w:space="0" w:color="auto"/>
        <w:left w:val="none" w:sz="0" w:space="0" w:color="auto"/>
        <w:bottom w:val="none" w:sz="0" w:space="0" w:color="auto"/>
        <w:right w:val="none" w:sz="0" w:space="0" w:color="auto"/>
      </w:divBdr>
    </w:div>
    <w:div w:id="1647128546">
      <w:bodyDiv w:val="1"/>
      <w:marLeft w:val="0"/>
      <w:marRight w:val="0"/>
      <w:marTop w:val="0"/>
      <w:marBottom w:val="0"/>
      <w:divBdr>
        <w:top w:val="none" w:sz="0" w:space="0" w:color="auto"/>
        <w:left w:val="none" w:sz="0" w:space="0" w:color="auto"/>
        <w:bottom w:val="none" w:sz="0" w:space="0" w:color="auto"/>
        <w:right w:val="none" w:sz="0" w:space="0" w:color="auto"/>
      </w:divBdr>
    </w:div>
    <w:div w:id="203013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25D98-EDE6-44AC-8D4D-CA2EA6392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1606</Words>
  <Characters>8034</Characters>
  <Application>Microsoft Office Word</Application>
  <DocSecurity>4</DocSecurity>
  <Lines>66</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דבי מורדיאן</dc:creator>
  <cp:lastModifiedBy>ניר אלון</cp:lastModifiedBy>
  <cp:revision>2</cp:revision>
  <cp:lastPrinted>2020-05-31T10:40:00Z</cp:lastPrinted>
  <dcterms:created xsi:type="dcterms:W3CDTF">2020-05-31T10:40:00Z</dcterms:created>
  <dcterms:modified xsi:type="dcterms:W3CDTF">2020-05-31T10:40:00Z</dcterms:modified>
</cp:coreProperties>
</file>